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392" w:rsidRPr="00A50DDB" w:rsidRDefault="00A50DDB" w:rsidP="00A50DDB">
      <w:pPr>
        <w:jc w:val="center"/>
        <w:rPr>
          <w:rFonts w:eastAsia="Calibri" w:cs="Calibri"/>
          <w:b/>
          <w:lang w:eastAsia="en-GB"/>
        </w:rPr>
      </w:pPr>
      <w:r w:rsidRPr="00A50DDB">
        <w:rPr>
          <w:rFonts w:eastAsia="Calibri" w:cs="Calibri"/>
          <w:b/>
          <w:lang w:eastAsia="en-GB"/>
        </w:rPr>
        <w:t>Building Relationships through Innovative Development of Gender-Based Violence Awareness in Europe</w:t>
      </w:r>
      <w:r>
        <w:rPr>
          <w:rFonts w:eastAsia="Calibri" w:cs="Calibri"/>
          <w:b/>
          <w:lang w:eastAsia="en-GB"/>
        </w:rPr>
        <w:t xml:space="preserve"> </w:t>
      </w:r>
      <w:r w:rsidR="00D81F58">
        <w:rPr>
          <w:rFonts w:eastAsia="Calibri" w:cs="Calibri"/>
          <w:b/>
          <w:lang w:eastAsia="en-GB"/>
        </w:rPr>
        <w:t>–</w:t>
      </w:r>
      <w:r>
        <w:rPr>
          <w:rFonts w:eastAsia="Calibri" w:cs="Calibri"/>
          <w:b/>
          <w:lang w:eastAsia="en-GB"/>
        </w:rPr>
        <w:t xml:space="preserve"> BRIDGE</w:t>
      </w:r>
      <w:r w:rsidR="00D81F58">
        <w:rPr>
          <w:rFonts w:eastAsia="Calibri" w:cs="Calibri"/>
          <w:b/>
          <w:lang w:eastAsia="en-GB"/>
        </w:rPr>
        <w:t xml:space="preserve"> Project</w:t>
      </w:r>
      <w:bookmarkStart w:id="0" w:name="_GoBack"/>
      <w:bookmarkEnd w:id="0"/>
    </w:p>
    <w:p w:rsidR="00FB44FA" w:rsidRPr="00586880" w:rsidRDefault="00FB44FA" w:rsidP="00FB44FA">
      <w:pPr>
        <w:spacing w:after="0" w:line="240" w:lineRule="auto"/>
        <w:contextualSpacing/>
        <w:jc w:val="center"/>
        <w:rPr>
          <w:b/>
          <w:sz w:val="26"/>
          <w:szCs w:val="26"/>
        </w:rPr>
      </w:pPr>
    </w:p>
    <w:p w:rsidR="006B3392" w:rsidRDefault="00A97070" w:rsidP="00FB44FA">
      <w:pPr>
        <w:spacing w:after="0" w:line="240" w:lineRule="auto"/>
        <w:contextualSpacing/>
        <w:jc w:val="center"/>
        <w:rPr>
          <w:b/>
        </w:rPr>
      </w:pPr>
      <w:r>
        <w:rPr>
          <w:b/>
        </w:rPr>
        <w:t>Care Professionals</w:t>
      </w:r>
      <w:r w:rsidR="00CE045E">
        <w:rPr>
          <w:b/>
        </w:rPr>
        <w:t xml:space="preserve"> Survey – 2</w:t>
      </w:r>
      <w:r w:rsidR="00CE045E" w:rsidRPr="00CE045E">
        <w:rPr>
          <w:b/>
          <w:vertAlign w:val="superscript"/>
        </w:rPr>
        <w:t>nd</w:t>
      </w:r>
      <w:r w:rsidR="00CE045E">
        <w:rPr>
          <w:b/>
        </w:rPr>
        <w:t xml:space="preserve"> </w:t>
      </w:r>
      <w:r w:rsidR="00076B7D" w:rsidRPr="006B3392">
        <w:rPr>
          <w:b/>
        </w:rPr>
        <w:t xml:space="preserve">Data Collection </w:t>
      </w:r>
      <w:r w:rsidR="00586880">
        <w:rPr>
          <w:b/>
        </w:rPr>
        <w:t>–</w:t>
      </w:r>
      <w:r w:rsidR="00076B7D" w:rsidRPr="006B3392">
        <w:rPr>
          <w:b/>
        </w:rPr>
        <w:t xml:space="preserve"> </w:t>
      </w:r>
      <w:r w:rsidR="00586880">
        <w:rPr>
          <w:b/>
        </w:rPr>
        <w:t xml:space="preserve">Survey </w:t>
      </w:r>
      <w:r w:rsidR="00076B7D" w:rsidRPr="006B3392">
        <w:rPr>
          <w:b/>
        </w:rPr>
        <w:t>Analysis Report</w:t>
      </w:r>
    </w:p>
    <w:p w:rsidR="00FB44FA" w:rsidRDefault="00FB44FA" w:rsidP="00FB44FA">
      <w:pPr>
        <w:spacing w:after="0" w:line="240" w:lineRule="auto"/>
        <w:contextualSpacing/>
        <w:jc w:val="center"/>
        <w:rPr>
          <w:b/>
        </w:rPr>
      </w:pPr>
    </w:p>
    <w:p w:rsidR="00FE4F81" w:rsidRDefault="00FE4F81" w:rsidP="00FB44FA">
      <w:pPr>
        <w:spacing w:after="0" w:line="240" w:lineRule="auto"/>
        <w:contextualSpacing/>
        <w:jc w:val="center"/>
        <w:rPr>
          <w:b/>
        </w:rPr>
      </w:pPr>
      <w:r>
        <w:rPr>
          <w:b/>
        </w:rPr>
        <w:t xml:space="preserve">Country: Malta </w:t>
      </w:r>
    </w:p>
    <w:p w:rsidR="000A7A99" w:rsidRDefault="000A7A99" w:rsidP="00210CD3">
      <w:pPr>
        <w:spacing w:after="0" w:line="240" w:lineRule="auto"/>
        <w:contextualSpacing/>
        <w:jc w:val="center"/>
        <w:rPr>
          <w:b/>
        </w:rPr>
      </w:pPr>
      <w:r>
        <w:rPr>
          <w:b/>
        </w:rPr>
        <w:t xml:space="preserve">Data Collection: Karen Hartburn </w:t>
      </w:r>
    </w:p>
    <w:p w:rsidR="00210CD3" w:rsidRDefault="00210CD3" w:rsidP="00210CD3">
      <w:pPr>
        <w:spacing w:after="0" w:line="240" w:lineRule="auto"/>
        <w:contextualSpacing/>
        <w:jc w:val="center"/>
        <w:rPr>
          <w:b/>
        </w:rPr>
      </w:pPr>
      <w:r>
        <w:rPr>
          <w:b/>
        </w:rPr>
        <w:t>Author: Dr Lara Bezzina</w:t>
      </w:r>
    </w:p>
    <w:p w:rsidR="00210CD3" w:rsidRDefault="00CE045E" w:rsidP="00210CD3">
      <w:pPr>
        <w:spacing w:after="0" w:line="240" w:lineRule="auto"/>
        <w:contextualSpacing/>
        <w:jc w:val="center"/>
        <w:rPr>
          <w:b/>
        </w:rPr>
      </w:pPr>
      <w:r>
        <w:rPr>
          <w:b/>
        </w:rPr>
        <w:t>October 2020</w:t>
      </w:r>
    </w:p>
    <w:p w:rsidR="00FB44FA" w:rsidRDefault="00FB44FA" w:rsidP="00FB44FA">
      <w:pPr>
        <w:spacing w:after="0" w:line="240" w:lineRule="auto"/>
        <w:contextualSpacing/>
        <w:jc w:val="center"/>
        <w:rPr>
          <w:b/>
        </w:rPr>
      </w:pPr>
    </w:p>
    <w:p w:rsidR="00FB44FA" w:rsidRDefault="00FB44FA" w:rsidP="00FB44FA">
      <w:pPr>
        <w:spacing w:after="0" w:line="240" w:lineRule="auto"/>
        <w:contextualSpacing/>
        <w:jc w:val="center"/>
        <w:rPr>
          <w:b/>
        </w:rPr>
      </w:pPr>
    </w:p>
    <w:p w:rsidR="00A50DDB" w:rsidRPr="00A50DDB" w:rsidRDefault="00A50DDB" w:rsidP="00A50DDB">
      <w:pPr>
        <w:spacing w:after="0" w:line="240" w:lineRule="auto"/>
        <w:jc w:val="both"/>
        <w:rPr>
          <w:rFonts w:eastAsia="Calibri" w:cs="Calibri"/>
          <w:lang w:eastAsia="en-GB"/>
        </w:rPr>
      </w:pPr>
      <w:r w:rsidRPr="00A50DDB">
        <w:rPr>
          <w:rFonts w:eastAsia="Calibri" w:cs="Calibri"/>
          <w:lang w:eastAsia="en-GB"/>
        </w:rPr>
        <w:t xml:space="preserve">This data collection took place within the framework of the regional project </w:t>
      </w:r>
      <w:hyperlink r:id="rId9" w:history="1">
        <w:r w:rsidRPr="00A50DDB">
          <w:rPr>
            <w:rFonts w:eastAsia="Calibri" w:cs="Calibri"/>
            <w:color w:val="0000FF" w:themeColor="hyperlink"/>
            <w:u w:val="single"/>
            <w:lang w:eastAsia="en-GB"/>
          </w:rPr>
          <w:t>“Building Relationships through Innovative Development of Gender-Based Violence Awareness in Europe - BRIDGE”</w:t>
        </w:r>
      </w:hyperlink>
      <w:r w:rsidRPr="00A50DDB">
        <w:rPr>
          <w:rFonts w:eastAsia="Calibri" w:cs="Calibri"/>
          <w:lang w:eastAsia="en-GB"/>
        </w:rPr>
        <w:t xml:space="preserve"> with the purpose of gathering information on the level of awareness among children and youth on the move on gender-based violence. Data was gathered through a questionnaire encoded in a mobile data collection tool that was used during face to face meetings.</w:t>
      </w:r>
    </w:p>
    <w:p w:rsidR="00A50DDB" w:rsidRPr="00A50DDB" w:rsidRDefault="00A50DDB" w:rsidP="00A50DDB">
      <w:pPr>
        <w:spacing w:after="0" w:line="240" w:lineRule="auto"/>
        <w:jc w:val="both"/>
        <w:rPr>
          <w:rFonts w:eastAsia="Calibri" w:cs="Calibri"/>
          <w:lang w:eastAsia="en-GB"/>
        </w:rPr>
      </w:pPr>
    </w:p>
    <w:p w:rsidR="00A50DDB" w:rsidRPr="00A50DDB" w:rsidRDefault="00A50DDB" w:rsidP="00A50DDB">
      <w:pPr>
        <w:spacing w:after="0" w:line="240" w:lineRule="auto"/>
        <w:jc w:val="both"/>
        <w:rPr>
          <w:rFonts w:eastAsia="Calibri" w:cs="Calibri"/>
          <w:lang w:eastAsia="en-GB"/>
        </w:rPr>
      </w:pPr>
      <w:r w:rsidRPr="00A50DDB">
        <w:rPr>
          <w:rFonts w:eastAsia="Calibri" w:cs="Calibri"/>
          <w:lang w:eastAsia="en-GB"/>
        </w:rPr>
        <w:t xml:space="preserve">The BRIDGE project is </w:t>
      </w:r>
      <w:r w:rsidRPr="00A50DDB">
        <w:rPr>
          <w:rFonts w:eastAsia="Calibri" w:cs="Calibri"/>
          <w:b/>
          <w:lang w:eastAsia="en-GB"/>
        </w:rPr>
        <w:t>supported by the</w:t>
      </w:r>
      <w:r w:rsidRPr="00A50DDB">
        <w:rPr>
          <w:rFonts w:eastAsia="Calibri" w:cs="Calibri"/>
          <w:lang w:eastAsia="en-GB"/>
        </w:rPr>
        <w:t xml:space="preserve"> </w:t>
      </w:r>
      <w:r w:rsidRPr="00A50DDB">
        <w:rPr>
          <w:rFonts w:eastAsia="Calibri" w:cs="Calibri"/>
          <w:b/>
          <w:lang w:eastAsia="en-GB"/>
        </w:rPr>
        <w:t xml:space="preserve">European Union’s Rights, Equality and Citizenship Programme (2014-2020) </w:t>
      </w:r>
      <w:r w:rsidRPr="00A50DDB">
        <w:rPr>
          <w:rFonts w:eastAsia="Calibri" w:cs="Calibri"/>
          <w:lang w:eastAsia="en-GB"/>
        </w:rPr>
        <w:t xml:space="preserve">and is implemented under the lead of Terre des </w:t>
      </w:r>
      <w:proofErr w:type="spellStart"/>
      <w:r w:rsidRPr="00A50DDB">
        <w:rPr>
          <w:rFonts w:eastAsia="Calibri" w:cs="Calibri"/>
          <w:lang w:eastAsia="en-GB"/>
        </w:rPr>
        <w:t>hommes</w:t>
      </w:r>
      <w:proofErr w:type="spellEnd"/>
      <w:r w:rsidRPr="00A50DDB">
        <w:rPr>
          <w:rFonts w:eastAsia="Calibri" w:cs="Calibri"/>
          <w:lang w:eastAsia="en-GB"/>
        </w:rPr>
        <w:t xml:space="preserve"> Regional Office for Europe in Hungary, in partnership with Defence for Children International Belgium (DCI Belgium) and FEDASIL (Belgium), Association for the Social Support of Youth – ARSIS (Greece), </w:t>
      </w:r>
      <w:proofErr w:type="spellStart"/>
      <w:r w:rsidRPr="00A50DDB">
        <w:rPr>
          <w:rFonts w:eastAsia="Calibri" w:cs="Calibri"/>
          <w:lang w:eastAsia="en-GB"/>
        </w:rPr>
        <w:t>Kopin</w:t>
      </w:r>
      <w:proofErr w:type="spellEnd"/>
      <w:r w:rsidRPr="00A50DDB">
        <w:rPr>
          <w:rFonts w:eastAsia="Calibri" w:cs="Calibri"/>
          <w:lang w:eastAsia="en-GB"/>
        </w:rPr>
        <w:t xml:space="preserve"> (Malta) and Terre des </w:t>
      </w:r>
      <w:proofErr w:type="spellStart"/>
      <w:r w:rsidRPr="00A50DDB">
        <w:rPr>
          <w:rFonts w:eastAsia="Calibri" w:cs="Calibri"/>
          <w:lang w:eastAsia="en-GB"/>
        </w:rPr>
        <w:t>hommes</w:t>
      </w:r>
      <w:proofErr w:type="spellEnd"/>
      <w:r w:rsidRPr="00A50DDB">
        <w:rPr>
          <w:rFonts w:eastAsia="Calibri" w:cs="Calibri"/>
          <w:lang w:eastAsia="en-GB"/>
        </w:rPr>
        <w:t xml:space="preserve"> Romania. The aim of the project is to strengthen the response to gender-based violence (GBV) affecting children and youth on the move in European Union countries as well as to empower children and youth on the move to better protect </w:t>
      </w:r>
      <w:proofErr w:type="gramStart"/>
      <w:r w:rsidRPr="00A50DDB">
        <w:rPr>
          <w:rFonts w:eastAsia="Calibri" w:cs="Calibri"/>
          <w:lang w:eastAsia="en-GB"/>
        </w:rPr>
        <w:t>themselves</w:t>
      </w:r>
      <w:proofErr w:type="gramEnd"/>
      <w:r w:rsidRPr="00A50DDB">
        <w:rPr>
          <w:rFonts w:eastAsia="Calibri" w:cs="Calibri"/>
          <w:lang w:eastAsia="en-GB"/>
        </w:rPr>
        <w:t>.</w:t>
      </w:r>
    </w:p>
    <w:p w:rsidR="00A50DDB" w:rsidRDefault="00A50DDB" w:rsidP="00A50DDB">
      <w:pPr>
        <w:spacing w:after="0" w:line="240" w:lineRule="auto"/>
        <w:contextualSpacing/>
        <w:rPr>
          <w:b/>
        </w:rPr>
      </w:pPr>
    </w:p>
    <w:p w:rsidR="00FB44FA" w:rsidRDefault="00FB44FA" w:rsidP="00FB44FA">
      <w:pPr>
        <w:spacing w:after="0" w:line="240" w:lineRule="auto"/>
        <w:contextualSpacing/>
        <w:jc w:val="center"/>
        <w:rPr>
          <w:b/>
        </w:rPr>
      </w:pPr>
    </w:p>
    <w:p w:rsidR="00AE459E" w:rsidRDefault="00586880" w:rsidP="008A2158">
      <w:pPr>
        <w:pStyle w:val="Heading1"/>
        <w:numPr>
          <w:ilvl w:val="0"/>
          <w:numId w:val="1"/>
        </w:numPr>
        <w:spacing w:before="0" w:line="240" w:lineRule="auto"/>
        <w:contextualSpacing/>
      </w:pPr>
      <w:r w:rsidRPr="00586880">
        <w:t xml:space="preserve">General </w:t>
      </w:r>
    </w:p>
    <w:p w:rsidR="00861FDE" w:rsidRDefault="0068051F" w:rsidP="008A2158">
      <w:pPr>
        <w:tabs>
          <w:tab w:val="left" w:pos="1720"/>
        </w:tabs>
        <w:spacing w:after="0" w:line="240" w:lineRule="auto"/>
        <w:contextualSpacing/>
        <w:jc w:val="both"/>
      </w:pPr>
      <w:r>
        <w:t>Nine</w:t>
      </w:r>
      <w:r w:rsidR="009F74EF" w:rsidRPr="009F74EF">
        <w:t xml:space="preserve"> </w:t>
      </w:r>
      <w:r w:rsidR="009B6ED9">
        <w:t xml:space="preserve">female </w:t>
      </w:r>
      <w:r w:rsidR="00662656">
        <w:t xml:space="preserve">respondents </w:t>
      </w:r>
      <w:r w:rsidR="009F74EF">
        <w:t>filled in the</w:t>
      </w:r>
      <w:r w:rsidR="00861FDE">
        <w:t xml:space="preserve"> care </w:t>
      </w:r>
      <w:r w:rsidR="00D72ECA">
        <w:t>professionals’</w:t>
      </w:r>
      <w:r w:rsidR="009F74EF">
        <w:t xml:space="preserve"> survey</w:t>
      </w:r>
      <w:r w:rsidR="00E6273A">
        <w:t xml:space="preserve"> during the months of </w:t>
      </w:r>
      <w:r w:rsidR="000371DE">
        <w:t xml:space="preserve">February through to </w:t>
      </w:r>
      <w:proofErr w:type="gramStart"/>
      <w:r w:rsidR="00A60F98">
        <w:t xml:space="preserve">August </w:t>
      </w:r>
      <w:r w:rsidR="000371DE">
        <w:t xml:space="preserve"> 2020</w:t>
      </w:r>
      <w:proofErr w:type="gramEnd"/>
      <w:r w:rsidR="000371DE">
        <w:rPr>
          <w:rStyle w:val="FootnoteReference"/>
        </w:rPr>
        <w:footnoteReference w:id="1"/>
      </w:r>
      <w:r w:rsidR="00F7251E">
        <w:t xml:space="preserve">. All of them </w:t>
      </w:r>
      <w:r w:rsidR="005A1E09">
        <w:t>work at the Agency for the Welfare of Asylum Seekers (AWAS)</w:t>
      </w:r>
      <w:r w:rsidR="005A1E09">
        <w:rPr>
          <w:rStyle w:val="FootnoteReference"/>
        </w:rPr>
        <w:footnoteReference w:id="2"/>
      </w:r>
      <w:r w:rsidR="005A1E09">
        <w:t xml:space="preserve">, whether at </w:t>
      </w:r>
      <w:proofErr w:type="gramStart"/>
      <w:r w:rsidR="00A60F98">
        <w:t xml:space="preserve">an </w:t>
      </w:r>
      <w:r w:rsidR="00A94392">
        <w:t xml:space="preserve"> </w:t>
      </w:r>
      <w:r w:rsidR="005A1E09">
        <w:t>ope</w:t>
      </w:r>
      <w:r w:rsidR="00A94392">
        <w:t>n</w:t>
      </w:r>
      <w:proofErr w:type="gramEnd"/>
      <w:r w:rsidR="00A94392">
        <w:t xml:space="preserve"> (accommodation) centre </w:t>
      </w:r>
      <w:r w:rsidR="005A1E09">
        <w:t xml:space="preserve">or otherwise. </w:t>
      </w:r>
      <w:r w:rsidR="009B6ED9">
        <w:t>The responden</w:t>
      </w:r>
      <w:r w:rsidR="00A50DDB">
        <w:t>ts, some of whom work with the a</w:t>
      </w:r>
      <w:r w:rsidR="009B6ED9">
        <w:t xml:space="preserve">gency’s Therapeutic Unit and within the care team, </w:t>
      </w:r>
      <w:r w:rsidR="00861FDE">
        <w:t>comprise</w:t>
      </w:r>
      <w:r w:rsidR="00A94392">
        <w:t xml:space="preserve"> a mix </w:t>
      </w:r>
      <w:r w:rsidR="00662656">
        <w:t xml:space="preserve">of </w:t>
      </w:r>
      <w:r w:rsidR="00A94392">
        <w:t>regular professional staff</w:t>
      </w:r>
      <w:r w:rsidR="00F7251E">
        <w:t xml:space="preserve"> and other types of workers</w:t>
      </w:r>
      <w:r w:rsidR="00A94392">
        <w:t xml:space="preserve">. </w:t>
      </w:r>
      <w:r w:rsidR="00DA3891">
        <w:t>Among the respondents, there a</w:t>
      </w:r>
      <w:r w:rsidR="00F52503">
        <w:t>re unit leaders, coordinators</w:t>
      </w:r>
      <w:r w:rsidR="00BD34A2">
        <w:t>, members of the core team</w:t>
      </w:r>
      <w:r w:rsidR="00F52503">
        <w:t xml:space="preserve"> and social workers. </w:t>
      </w:r>
      <w:r w:rsidR="00A94392">
        <w:t xml:space="preserve">Their levels of education range from </w:t>
      </w:r>
      <w:r w:rsidR="00662656">
        <w:t xml:space="preserve">a high school degree / equivalent (1 respondent) to Master’s degree (3 respondents). </w:t>
      </w:r>
    </w:p>
    <w:p w:rsidR="00C87B02" w:rsidRDefault="00C87B02" w:rsidP="008A2158">
      <w:pPr>
        <w:tabs>
          <w:tab w:val="left" w:pos="1720"/>
        </w:tabs>
        <w:spacing w:after="0" w:line="240" w:lineRule="auto"/>
        <w:contextualSpacing/>
        <w:jc w:val="both"/>
      </w:pPr>
    </w:p>
    <w:p w:rsidR="00861FDE" w:rsidRDefault="00A94392" w:rsidP="008A2158">
      <w:pPr>
        <w:tabs>
          <w:tab w:val="left" w:pos="1720"/>
        </w:tabs>
        <w:spacing w:after="0" w:line="240" w:lineRule="auto"/>
        <w:contextualSpacing/>
        <w:jc w:val="both"/>
      </w:pPr>
      <w:r w:rsidRPr="00A94392">
        <w:rPr>
          <w:b/>
        </w:rPr>
        <w:lastRenderedPageBreak/>
        <w:t xml:space="preserve">Training received. </w:t>
      </w:r>
      <w:r w:rsidR="0068051F">
        <w:t xml:space="preserve">The large majority of the respondents (8) have received training on gender-based violence </w:t>
      </w:r>
      <w:r w:rsidR="00B64AB9">
        <w:t>(GBV)</w:t>
      </w:r>
      <w:r w:rsidR="00C87B02">
        <w:rPr>
          <w:rStyle w:val="FootnoteReference"/>
        </w:rPr>
        <w:footnoteReference w:id="3"/>
      </w:r>
      <w:r w:rsidR="00B64AB9">
        <w:t xml:space="preserve"> </w:t>
      </w:r>
      <w:r w:rsidR="0068051F">
        <w:t xml:space="preserve">and on migration (7 respondents). Meanwhile, just under half (4 respondents) indicate that they received training on child protection. </w:t>
      </w:r>
    </w:p>
    <w:p w:rsidR="00DA3891" w:rsidRDefault="00DA3891" w:rsidP="008A2158">
      <w:pPr>
        <w:tabs>
          <w:tab w:val="left" w:pos="1720"/>
        </w:tabs>
        <w:spacing w:after="0" w:line="240" w:lineRule="auto"/>
        <w:contextualSpacing/>
        <w:jc w:val="both"/>
      </w:pPr>
    </w:p>
    <w:p w:rsidR="00B64AB9" w:rsidRDefault="005344BB" w:rsidP="008A2158">
      <w:pPr>
        <w:tabs>
          <w:tab w:val="left" w:pos="1720"/>
        </w:tabs>
        <w:spacing w:after="0" w:line="240" w:lineRule="auto"/>
        <w:contextualSpacing/>
        <w:jc w:val="both"/>
      </w:pPr>
      <w:r>
        <w:t xml:space="preserve">The </w:t>
      </w:r>
      <w:r w:rsidRPr="00C61D7D">
        <w:rPr>
          <w:b/>
        </w:rPr>
        <w:t>majority</w:t>
      </w:r>
      <w:r>
        <w:t xml:space="preserve"> (s</w:t>
      </w:r>
      <w:r w:rsidR="00734900">
        <w:t>ix</w:t>
      </w:r>
      <w:r>
        <w:t>)</w:t>
      </w:r>
      <w:r w:rsidR="000176BE">
        <w:t xml:space="preserve"> respondents – </w:t>
      </w:r>
      <w:r w:rsidR="00C61D7D" w:rsidRPr="00C61D7D">
        <w:rPr>
          <w:b/>
        </w:rPr>
        <w:t>all of whom</w:t>
      </w:r>
      <w:r w:rsidR="000176BE" w:rsidRPr="00C61D7D">
        <w:rPr>
          <w:b/>
        </w:rPr>
        <w:t xml:space="preserve"> have received GBV training</w:t>
      </w:r>
      <w:r w:rsidR="000176BE">
        <w:t xml:space="preserve"> – indicate </w:t>
      </w:r>
      <w:r w:rsidR="00B64AB9">
        <w:t xml:space="preserve">that they </w:t>
      </w:r>
      <w:r w:rsidR="00B64AB9" w:rsidRPr="00C61D7D">
        <w:rPr>
          <w:b/>
        </w:rPr>
        <w:t xml:space="preserve">have enough </w:t>
      </w:r>
      <w:r w:rsidRPr="00C61D7D">
        <w:rPr>
          <w:b/>
        </w:rPr>
        <w:t xml:space="preserve">(‘very much’) </w:t>
      </w:r>
      <w:r w:rsidR="00334692" w:rsidRPr="00C61D7D">
        <w:rPr>
          <w:b/>
        </w:rPr>
        <w:t>knowledge of</w:t>
      </w:r>
      <w:r w:rsidR="00B64AB9" w:rsidRPr="00C61D7D">
        <w:rPr>
          <w:b/>
        </w:rPr>
        <w:t xml:space="preserve"> G</w:t>
      </w:r>
      <w:r w:rsidR="00334692" w:rsidRPr="00C61D7D">
        <w:rPr>
          <w:b/>
        </w:rPr>
        <w:t>BV for their position</w:t>
      </w:r>
      <w:r w:rsidR="00B64AB9">
        <w:t xml:space="preserve">. </w:t>
      </w:r>
      <w:r w:rsidR="00734900">
        <w:t xml:space="preserve">Meanwhile, the other three respondents </w:t>
      </w:r>
      <w:r w:rsidR="000176BE">
        <w:t>feel their knowledge is only somewhat enough</w:t>
      </w:r>
      <w:r w:rsidR="005E4BF5">
        <w:t xml:space="preserve"> (see Figure 1)</w:t>
      </w:r>
      <w:r w:rsidR="000176BE">
        <w:t xml:space="preserve">. These findings </w:t>
      </w:r>
      <w:r w:rsidR="000176BE" w:rsidRPr="00C61D7D">
        <w:rPr>
          <w:b/>
        </w:rPr>
        <w:t>stand out in comparison to those emerging from the first data collection</w:t>
      </w:r>
      <w:r w:rsidR="000176BE">
        <w:rPr>
          <w:rStyle w:val="FootnoteReference"/>
        </w:rPr>
        <w:footnoteReference w:id="4"/>
      </w:r>
      <w:r w:rsidR="005D58AD">
        <w:t xml:space="preserve"> - which took place prior to the GBV training delivered as part of the </w:t>
      </w:r>
      <w:r w:rsidR="00A60F98">
        <w:t xml:space="preserve">BRIDGE </w:t>
      </w:r>
      <w:r w:rsidR="005D58AD">
        <w:t xml:space="preserve"> project – where almost all respondents felt their GBV knowledge was only ‘somewhat’ enough for their position.</w:t>
      </w:r>
      <w:r w:rsidR="00BE5AA4">
        <w:rPr>
          <w:rStyle w:val="FootnoteReference"/>
        </w:rPr>
        <w:footnoteReference w:id="5"/>
      </w:r>
      <w:r w:rsidR="005D58AD">
        <w:t xml:space="preserve"> </w:t>
      </w:r>
    </w:p>
    <w:p w:rsidR="005155D2" w:rsidRDefault="005155D2" w:rsidP="008A2158">
      <w:pPr>
        <w:tabs>
          <w:tab w:val="left" w:pos="1720"/>
        </w:tabs>
        <w:spacing w:after="0" w:line="240" w:lineRule="auto"/>
        <w:contextualSpacing/>
        <w:jc w:val="both"/>
      </w:pPr>
    </w:p>
    <w:p w:rsidR="005155D2" w:rsidRDefault="005155D2" w:rsidP="005155D2">
      <w:pPr>
        <w:spacing w:after="0" w:line="240" w:lineRule="auto"/>
        <w:jc w:val="center"/>
      </w:pPr>
      <w:r>
        <w:rPr>
          <w:b/>
        </w:rPr>
        <w:t>Figure 1 – Perception of whether knowledge of GBV is enough for position held</w:t>
      </w:r>
    </w:p>
    <w:p w:rsidR="005155D2" w:rsidRDefault="005155D2" w:rsidP="008A2158">
      <w:pPr>
        <w:tabs>
          <w:tab w:val="left" w:pos="1720"/>
        </w:tabs>
        <w:spacing w:after="0" w:line="240" w:lineRule="auto"/>
        <w:contextualSpacing/>
        <w:jc w:val="both"/>
      </w:pPr>
    </w:p>
    <w:p w:rsidR="005155D2" w:rsidRPr="0068051F" w:rsidRDefault="005155D2" w:rsidP="005155D2">
      <w:pPr>
        <w:tabs>
          <w:tab w:val="left" w:pos="1720"/>
        </w:tabs>
        <w:spacing w:after="0" w:line="240" w:lineRule="auto"/>
        <w:contextualSpacing/>
        <w:jc w:val="center"/>
      </w:pPr>
      <w:r>
        <w:rPr>
          <w:noProof/>
          <w:lang w:val="en-US"/>
        </w:rPr>
        <w:drawing>
          <wp:inline distT="0" distB="0" distL="0" distR="0">
            <wp:extent cx="3435790" cy="1729212"/>
            <wp:effectExtent l="0" t="0" r="12700" b="2349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A2158" w:rsidRDefault="008A2158" w:rsidP="008A2158">
      <w:pPr>
        <w:tabs>
          <w:tab w:val="left" w:pos="1720"/>
        </w:tabs>
        <w:spacing w:after="0" w:line="240" w:lineRule="auto"/>
        <w:contextualSpacing/>
        <w:jc w:val="both"/>
      </w:pPr>
    </w:p>
    <w:p w:rsidR="00FC5534" w:rsidRDefault="00FC5534" w:rsidP="008A2158">
      <w:pPr>
        <w:pStyle w:val="Heading1"/>
        <w:numPr>
          <w:ilvl w:val="0"/>
          <w:numId w:val="1"/>
        </w:numPr>
        <w:spacing w:before="0" w:line="240" w:lineRule="auto"/>
        <w:contextualSpacing/>
      </w:pPr>
      <w:r>
        <w:t>Perceptions of GBV</w:t>
      </w:r>
    </w:p>
    <w:p w:rsidR="00FC5534" w:rsidRDefault="00B26D32" w:rsidP="00B26D32">
      <w:pPr>
        <w:spacing w:after="0" w:line="240" w:lineRule="auto"/>
        <w:contextualSpacing/>
        <w:jc w:val="both"/>
      </w:pPr>
      <w:r>
        <w:t xml:space="preserve">This section looks at the care professionals’ perceptions of GBV, through their responses to the various questions on forms of GBV. </w:t>
      </w:r>
    </w:p>
    <w:p w:rsidR="006C5611" w:rsidRDefault="006C5611" w:rsidP="00B26D32">
      <w:pPr>
        <w:spacing w:after="0" w:line="240" w:lineRule="auto"/>
        <w:contextualSpacing/>
        <w:jc w:val="both"/>
      </w:pPr>
    </w:p>
    <w:p w:rsidR="00AD788C" w:rsidRDefault="00AD788C" w:rsidP="00B26D32">
      <w:pPr>
        <w:spacing w:after="0" w:line="240" w:lineRule="auto"/>
        <w:contextualSpacing/>
        <w:jc w:val="both"/>
      </w:pPr>
      <w:r>
        <w:t xml:space="preserve">The </w:t>
      </w:r>
      <w:r w:rsidRPr="00647FF1">
        <w:rPr>
          <w:b/>
        </w:rPr>
        <w:t>majority</w:t>
      </w:r>
      <w:r>
        <w:t xml:space="preserve"> </w:t>
      </w:r>
      <w:r w:rsidR="0080302E">
        <w:t>of the respondents (7</w:t>
      </w:r>
      <w:r>
        <w:t xml:space="preserve">) </w:t>
      </w:r>
      <w:r w:rsidRPr="00647FF1">
        <w:rPr>
          <w:b/>
        </w:rPr>
        <w:t xml:space="preserve">consider an act of physical violence </w:t>
      </w:r>
      <w:r w:rsidR="00647FF1" w:rsidRPr="00647FF1">
        <w:rPr>
          <w:b/>
        </w:rPr>
        <w:t>against a child that is not sexual in nature as GBV</w:t>
      </w:r>
      <w:r w:rsidR="0080302E">
        <w:rPr>
          <w:b/>
        </w:rPr>
        <w:t xml:space="preserve"> </w:t>
      </w:r>
      <w:r w:rsidR="0080302E">
        <w:t xml:space="preserve">(with 6 </w:t>
      </w:r>
      <w:r w:rsidR="00D72ECA">
        <w:t xml:space="preserve">indicating that this is ‘definitely’ a form of GBV </w:t>
      </w:r>
      <w:r w:rsidR="0080302E">
        <w:t>and one replying ‘probably’)</w:t>
      </w:r>
      <w:r w:rsidR="00647FF1">
        <w:t xml:space="preserve">. </w:t>
      </w:r>
      <w:r w:rsidR="0080302E">
        <w:t>All of these respondents received training on GBV. However, two respondents who also received GBV training do not consider this act as GBV.</w:t>
      </w:r>
    </w:p>
    <w:p w:rsidR="00F92910" w:rsidRDefault="007371AB" w:rsidP="00F92910">
      <w:pPr>
        <w:spacing w:after="0" w:line="240" w:lineRule="auto"/>
        <w:contextualSpacing/>
        <w:jc w:val="both"/>
      </w:pPr>
      <w:r>
        <w:rPr>
          <w:b/>
        </w:rPr>
        <w:t>C</w:t>
      </w:r>
      <w:r w:rsidR="0080302E" w:rsidRPr="008F75CC">
        <w:rPr>
          <w:b/>
        </w:rPr>
        <w:t xml:space="preserve">hild marriage </w:t>
      </w:r>
      <w:r>
        <w:rPr>
          <w:b/>
        </w:rPr>
        <w:t xml:space="preserve">is considered </w:t>
      </w:r>
      <w:r w:rsidR="0080302E" w:rsidRPr="008F75CC">
        <w:rPr>
          <w:b/>
        </w:rPr>
        <w:t>as a form of GBV</w:t>
      </w:r>
      <w:r>
        <w:rPr>
          <w:b/>
        </w:rPr>
        <w:t xml:space="preserve"> by all respondents</w:t>
      </w:r>
      <w:r w:rsidR="0080302E">
        <w:t xml:space="preserve">, with eight </w:t>
      </w:r>
      <w:r>
        <w:t>indicating ‘definitely’,</w:t>
      </w:r>
      <w:r w:rsidR="0080302E">
        <w:t xml:space="preserve"> and one replying ‘probably’.</w:t>
      </w:r>
      <w:r w:rsidR="00F92910">
        <w:t xml:space="preserve"> </w:t>
      </w:r>
      <w:r w:rsidR="00F92910" w:rsidRPr="008F75CC">
        <w:rPr>
          <w:b/>
        </w:rPr>
        <w:t xml:space="preserve">All respondents </w:t>
      </w:r>
      <w:r w:rsidR="00F92910" w:rsidRPr="00F92910">
        <w:t xml:space="preserve">also </w:t>
      </w:r>
      <w:r w:rsidR="00F92910" w:rsidRPr="008F75CC">
        <w:rPr>
          <w:b/>
        </w:rPr>
        <w:t>consider bullying as a form of GBV</w:t>
      </w:r>
      <w:r w:rsidR="00F92910">
        <w:t xml:space="preserve">, with five indicating that it ‘definitely’ is GBV. </w:t>
      </w:r>
    </w:p>
    <w:p w:rsidR="0080302E" w:rsidRDefault="007B4900" w:rsidP="00B26D32">
      <w:pPr>
        <w:spacing w:after="0" w:line="240" w:lineRule="auto"/>
        <w:contextualSpacing/>
        <w:jc w:val="both"/>
      </w:pPr>
      <w:r>
        <w:lastRenderedPageBreak/>
        <w:t xml:space="preserve">The </w:t>
      </w:r>
      <w:r w:rsidRPr="008F75CC">
        <w:rPr>
          <w:b/>
        </w:rPr>
        <w:t xml:space="preserve">majority </w:t>
      </w:r>
      <w:r w:rsidR="00F97241">
        <w:t xml:space="preserve">(7) </w:t>
      </w:r>
      <w:r>
        <w:t xml:space="preserve">of respondents </w:t>
      </w:r>
      <w:r w:rsidR="00F97241" w:rsidRPr="008F75CC">
        <w:rPr>
          <w:b/>
        </w:rPr>
        <w:t xml:space="preserve">consider </w:t>
      </w:r>
      <w:r w:rsidRPr="008F75CC">
        <w:rPr>
          <w:b/>
        </w:rPr>
        <w:t>denial of access to education as a form of GBV</w:t>
      </w:r>
      <w:r w:rsidR="00F97241" w:rsidRPr="008F75CC">
        <w:rPr>
          <w:b/>
        </w:rPr>
        <w:t xml:space="preserve"> </w:t>
      </w:r>
      <w:r w:rsidR="00F97241">
        <w:t>(with 6 replying ‘definitely’ and 1 ‘probably’)</w:t>
      </w:r>
      <w:r w:rsidR="008F75CC">
        <w:t xml:space="preserve">; while two respondents replied ‘probably not’ and ‘definitely not’. </w:t>
      </w:r>
    </w:p>
    <w:p w:rsidR="00392A24" w:rsidRDefault="00392A24" w:rsidP="00B26D32">
      <w:pPr>
        <w:spacing w:after="0" w:line="240" w:lineRule="auto"/>
        <w:contextualSpacing/>
        <w:jc w:val="both"/>
      </w:pPr>
    </w:p>
    <w:p w:rsidR="00B10829" w:rsidRPr="00B10829" w:rsidRDefault="001F4FCE" w:rsidP="00F92910">
      <w:pPr>
        <w:pStyle w:val="Heading1"/>
        <w:numPr>
          <w:ilvl w:val="0"/>
          <w:numId w:val="1"/>
        </w:numPr>
        <w:spacing w:before="0" w:line="240" w:lineRule="auto"/>
        <w:contextualSpacing/>
      </w:pPr>
      <w:r>
        <w:t>Information</w:t>
      </w:r>
      <w:r w:rsidR="00C8196A">
        <w:t xml:space="preserve"> about the Organisation </w:t>
      </w:r>
    </w:p>
    <w:p w:rsidR="003C4C7C" w:rsidRDefault="00C8196A" w:rsidP="000936C7">
      <w:pPr>
        <w:spacing w:after="0" w:line="240" w:lineRule="auto"/>
        <w:contextualSpacing/>
        <w:jc w:val="both"/>
      </w:pPr>
      <w:proofErr w:type="gramStart"/>
      <w:r w:rsidRPr="00C8196A">
        <w:rPr>
          <w:b/>
        </w:rPr>
        <w:t>Types of support</w:t>
      </w:r>
      <w:r w:rsidR="007857D3">
        <w:rPr>
          <w:b/>
        </w:rPr>
        <w:t xml:space="preserve"> for GBV survivors</w:t>
      </w:r>
      <w:r w:rsidRPr="00C8196A">
        <w:rPr>
          <w:b/>
        </w:rPr>
        <w:t>.</w:t>
      </w:r>
      <w:proofErr w:type="gramEnd"/>
      <w:r>
        <w:t xml:space="preserve"> </w:t>
      </w:r>
      <w:r w:rsidR="00EC6194">
        <w:t>Only one respondent (coor</w:t>
      </w:r>
      <w:r w:rsidR="008934F1">
        <w:t>dinator) replied to this part of the survey</w:t>
      </w:r>
      <w:r w:rsidR="00EC6194">
        <w:t xml:space="preserve">. </w:t>
      </w:r>
      <w:r w:rsidR="00B10829">
        <w:t>The res</w:t>
      </w:r>
      <w:r w:rsidR="005F2107">
        <w:t>pondent indicates</w:t>
      </w:r>
      <w:r w:rsidR="00B10829">
        <w:t xml:space="preserve"> that </w:t>
      </w:r>
      <w:r w:rsidR="000E109D">
        <w:t>their agency – which works with migrant children and young people – provides psychosocial support, health care, legal assistance, child protection program, translation services</w:t>
      </w:r>
      <w:r w:rsidR="00116C23">
        <w:t>,</w:t>
      </w:r>
      <w:r w:rsidR="000E109D">
        <w:t xml:space="preserve"> as well as other services (where cases are referred to other entities and NGOs as required) to GBV survivors. </w:t>
      </w:r>
    </w:p>
    <w:p w:rsidR="00312297" w:rsidRDefault="00312297" w:rsidP="000936C7">
      <w:pPr>
        <w:spacing w:after="0" w:line="240" w:lineRule="auto"/>
        <w:contextualSpacing/>
        <w:jc w:val="both"/>
      </w:pPr>
    </w:p>
    <w:p w:rsidR="00A94032" w:rsidRDefault="00EC5E9E" w:rsidP="008934F1">
      <w:pPr>
        <w:spacing w:after="0" w:line="240" w:lineRule="auto"/>
        <w:contextualSpacing/>
        <w:jc w:val="both"/>
      </w:pPr>
      <w:r>
        <w:t>When asked whether they consider the services provided to children/young</w:t>
      </w:r>
      <w:r w:rsidR="00A94032">
        <w:t xml:space="preserve"> </w:t>
      </w:r>
      <w:r>
        <w:t>people survivors of GBV are suffici</w:t>
      </w:r>
      <w:r w:rsidR="008934F1">
        <w:t>ent, two respondents reply that the p</w:t>
      </w:r>
      <w:r>
        <w:t>sychosocial support</w:t>
      </w:r>
      <w:r w:rsidR="00A94032">
        <w:t xml:space="preserve"> is </w:t>
      </w:r>
      <w:r w:rsidR="008934F1">
        <w:t>‘</w:t>
      </w:r>
      <w:r w:rsidR="00A94032">
        <w:t>probably</w:t>
      </w:r>
      <w:r w:rsidR="008934F1">
        <w:t>’</w:t>
      </w:r>
      <w:r w:rsidR="00A94032">
        <w:t xml:space="preserve"> and </w:t>
      </w:r>
      <w:r w:rsidR="008934F1">
        <w:t>‘</w:t>
      </w:r>
      <w:r w:rsidR="00A94032">
        <w:t>definitely</w:t>
      </w:r>
      <w:r w:rsidR="008934F1">
        <w:t>’</w:t>
      </w:r>
      <w:r w:rsidR="00A94032">
        <w:t xml:space="preserve"> sufficient</w:t>
      </w:r>
      <w:r w:rsidR="008934F1">
        <w:t>; h</w:t>
      </w:r>
      <w:r w:rsidR="00A94032">
        <w:t>ealth care</w:t>
      </w:r>
      <w:r w:rsidR="008934F1">
        <w:t xml:space="preserve"> and legal assistance services are</w:t>
      </w:r>
      <w:r w:rsidR="00A94032">
        <w:t xml:space="preserve"> </w:t>
      </w:r>
      <w:r w:rsidR="008934F1">
        <w:t>‘</w:t>
      </w:r>
      <w:r w:rsidR="00A94032">
        <w:t>probably</w:t>
      </w:r>
      <w:r w:rsidR="008934F1">
        <w:t>’ sufficient, whil</w:t>
      </w:r>
      <w:r w:rsidR="005F2107">
        <w:t>e the other respondent indicates that</w:t>
      </w:r>
      <w:r w:rsidR="008934F1">
        <w:t xml:space="preserve"> she </w:t>
      </w:r>
      <w:r w:rsidR="00A94032">
        <w:t>does not know</w:t>
      </w:r>
      <w:r w:rsidR="008934F1">
        <w:t>; the c</w:t>
      </w:r>
      <w:r w:rsidR="00A94032">
        <w:t xml:space="preserve">hild protection program is </w:t>
      </w:r>
      <w:r w:rsidR="008934F1">
        <w:t>‘</w:t>
      </w:r>
      <w:r w:rsidR="00A94032">
        <w:t>probably not</w:t>
      </w:r>
      <w:r w:rsidR="008934F1">
        <w:t>’</w:t>
      </w:r>
      <w:r w:rsidR="00A94032">
        <w:t xml:space="preserve"> sufficient</w:t>
      </w:r>
      <w:r w:rsidR="008934F1">
        <w:t>, while the other respondent does not know; and the t</w:t>
      </w:r>
      <w:r w:rsidR="00A94032">
        <w:t xml:space="preserve">ranslation service is </w:t>
      </w:r>
      <w:r w:rsidR="008934F1">
        <w:t>‘</w:t>
      </w:r>
      <w:r w:rsidR="00A94032">
        <w:t>pro</w:t>
      </w:r>
      <w:r w:rsidR="00F15372">
        <w:t>babl</w:t>
      </w:r>
      <w:r w:rsidR="00A94032">
        <w:t>y not</w:t>
      </w:r>
      <w:r w:rsidR="008934F1">
        <w:t>’</w:t>
      </w:r>
      <w:r w:rsidR="00A94032">
        <w:t xml:space="preserve"> sufficient</w:t>
      </w:r>
      <w:r w:rsidR="008934F1">
        <w:t>.</w:t>
      </w:r>
    </w:p>
    <w:p w:rsidR="0057073E" w:rsidRDefault="0057073E" w:rsidP="000936C7">
      <w:pPr>
        <w:spacing w:after="0" w:line="240" w:lineRule="auto"/>
        <w:contextualSpacing/>
        <w:jc w:val="both"/>
      </w:pPr>
    </w:p>
    <w:p w:rsidR="0057073E" w:rsidRDefault="00B017C9" w:rsidP="0057073E">
      <w:pPr>
        <w:spacing w:after="0" w:line="240" w:lineRule="auto"/>
        <w:contextualSpacing/>
        <w:jc w:val="both"/>
      </w:pPr>
      <w:proofErr w:type="gramStart"/>
      <w:r>
        <w:rPr>
          <w:b/>
        </w:rPr>
        <w:t>GBV Survivor Identification Procedures</w:t>
      </w:r>
      <w:r w:rsidR="00C8196A" w:rsidRPr="00C8196A">
        <w:rPr>
          <w:b/>
        </w:rPr>
        <w:t>.</w:t>
      </w:r>
      <w:proofErr w:type="gramEnd"/>
      <w:r w:rsidR="00C8196A">
        <w:t xml:space="preserve"> </w:t>
      </w:r>
      <w:r w:rsidR="001A4E7B">
        <w:t xml:space="preserve">While </w:t>
      </w:r>
      <w:r w:rsidR="001A4E7B" w:rsidRPr="00725EEF">
        <w:rPr>
          <w:b/>
        </w:rPr>
        <w:t>three respondents are not aw</w:t>
      </w:r>
      <w:r w:rsidR="0086427A" w:rsidRPr="00725EEF">
        <w:rPr>
          <w:b/>
        </w:rPr>
        <w:t>are of whether their agency has</w:t>
      </w:r>
      <w:r w:rsidR="001A4E7B" w:rsidRPr="00725EEF">
        <w:rPr>
          <w:b/>
        </w:rPr>
        <w:t xml:space="preserve"> </w:t>
      </w:r>
      <w:r w:rsidR="00666A47">
        <w:rPr>
          <w:b/>
        </w:rPr>
        <w:t xml:space="preserve">formal or informal </w:t>
      </w:r>
      <w:r w:rsidR="001A4E7B" w:rsidRPr="00725EEF">
        <w:rPr>
          <w:b/>
        </w:rPr>
        <w:t>procedures for identifying GBV survivors, four respondents</w:t>
      </w:r>
      <w:r w:rsidR="0069102B">
        <w:t xml:space="preserve"> (including the two</w:t>
      </w:r>
      <w:r w:rsidR="0086427A">
        <w:t xml:space="preserve"> social workers</w:t>
      </w:r>
      <w:r w:rsidR="005D2207">
        <w:t xml:space="preserve"> and two respo</w:t>
      </w:r>
      <w:r w:rsidR="00725EEF">
        <w:t>ndents from the therapeutic unit</w:t>
      </w:r>
      <w:r w:rsidR="0069102B">
        <w:t xml:space="preserve">) </w:t>
      </w:r>
      <w:r w:rsidR="005F2107">
        <w:rPr>
          <w:b/>
        </w:rPr>
        <w:t>indicate</w:t>
      </w:r>
      <w:r w:rsidR="001A4E7B" w:rsidRPr="00725EEF">
        <w:rPr>
          <w:b/>
        </w:rPr>
        <w:t xml:space="preserve"> that they follow informal mechanisms</w:t>
      </w:r>
      <w:r w:rsidR="00F46CC7">
        <w:rPr>
          <w:b/>
        </w:rPr>
        <w:t>,</w:t>
      </w:r>
      <w:r w:rsidR="001A4E7B">
        <w:t xml:space="preserve"> while </w:t>
      </w:r>
      <w:r w:rsidR="005F2107">
        <w:rPr>
          <w:b/>
        </w:rPr>
        <w:t>two indicate</w:t>
      </w:r>
      <w:r w:rsidR="00AF3B03" w:rsidRPr="00725EEF">
        <w:rPr>
          <w:b/>
        </w:rPr>
        <w:t xml:space="preserve"> that they follow written protocols</w:t>
      </w:r>
      <w:r w:rsidR="0012722C">
        <w:rPr>
          <w:b/>
        </w:rPr>
        <w:t xml:space="preserve"> </w:t>
      </w:r>
      <w:r w:rsidR="0012722C">
        <w:t>(see Figure 2)</w:t>
      </w:r>
      <w:r w:rsidR="00AF3B03">
        <w:t xml:space="preserve">. </w:t>
      </w:r>
      <w:r w:rsidR="005D2207">
        <w:t>Interestingly, the latter</w:t>
      </w:r>
      <w:r w:rsidR="00F46CC7">
        <w:t xml:space="preserve"> two</w:t>
      </w:r>
      <w:r w:rsidR="005D2207">
        <w:t xml:space="preserve"> comprise the coordinator and someone from the centre team, indicating that while core / coordinating professionals have knowledge of written protocols regarding disclosure procedures, others (such as those working in therapy and social work) might not. </w:t>
      </w:r>
    </w:p>
    <w:p w:rsidR="0012722C" w:rsidRDefault="0012722C" w:rsidP="0057073E">
      <w:pPr>
        <w:spacing w:after="0" w:line="240" w:lineRule="auto"/>
        <w:contextualSpacing/>
        <w:jc w:val="both"/>
      </w:pPr>
    </w:p>
    <w:p w:rsidR="00B82B40" w:rsidRDefault="00B82B40" w:rsidP="00B82B40">
      <w:pPr>
        <w:spacing w:after="0" w:line="240" w:lineRule="auto"/>
        <w:contextualSpacing/>
        <w:jc w:val="both"/>
      </w:pPr>
      <w:r>
        <w:t>The same professionals (the worker from centre team and the coordinator) as well as a social worker</w:t>
      </w:r>
      <w:r w:rsidR="002348AB">
        <w:t xml:space="preserve"> (</w:t>
      </w:r>
      <w:r w:rsidR="002348AB" w:rsidRPr="002D6C39">
        <w:rPr>
          <w:b/>
        </w:rPr>
        <w:t>three</w:t>
      </w:r>
      <w:r w:rsidR="002348AB">
        <w:t xml:space="preserve"> in total)</w:t>
      </w:r>
      <w:proofErr w:type="gramStart"/>
      <w:r>
        <w:t>,</w:t>
      </w:r>
      <w:proofErr w:type="gramEnd"/>
      <w:r>
        <w:t xml:space="preserve"> </w:t>
      </w:r>
      <w:r w:rsidRPr="002D6C39">
        <w:rPr>
          <w:b/>
        </w:rPr>
        <w:t>indicate that their agency has specific</w:t>
      </w:r>
      <w:r>
        <w:t xml:space="preserve"> </w:t>
      </w:r>
      <w:r w:rsidRPr="005D2207">
        <w:rPr>
          <w:b/>
        </w:rPr>
        <w:t>procedures</w:t>
      </w:r>
      <w:r>
        <w:t xml:space="preserve"> </w:t>
      </w:r>
      <w:r w:rsidRPr="005D2207">
        <w:rPr>
          <w:b/>
        </w:rPr>
        <w:t>to identify children survivors of GBV</w:t>
      </w:r>
      <w:r>
        <w:t xml:space="preserve">. However, </w:t>
      </w:r>
      <w:r w:rsidRPr="002348AB">
        <w:rPr>
          <w:b/>
        </w:rPr>
        <w:t>three other respondents indicate that their agency does not have such procedures</w:t>
      </w:r>
      <w:r>
        <w:t xml:space="preserve">; while </w:t>
      </w:r>
      <w:r w:rsidR="000B74C5">
        <w:rPr>
          <w:b/>
        </w:rPr>
        <w:t>three</w:t>
      </w:r>
      <w:r w:rsidR="00666A47">
        <w:rPr>
          <w:b/>
        </w:rPr>
        <w:t xml:space="preserve"> reply</w:t>
      </w:r>
      <w:r w:rsidRPr="00666A47">
        <w:rPr>
          <w:b/>
        </w:rPr>
        <w:t xml:space="preserve"> that they do not know</w:t>
      </w:r>
      <w:r>
        <w:t xml:space="preserve">. </w:t>
      </w:r>
    </w:p>
    <w:p w:rsidR="00B82B40" w:rsidRDefault="00B82B40" w:rsidP="00B82B40">
      <w:pPr>
        <w:spacing w:after="0" w:line="240" w:lineRule="auto"/>
        <w:contextualSpacing/>
        <w:jc w:val="both"/>
      </w:pPr>
    </w:p>
    <w:p w:rsidR="00B82B40" w:rsidRDefault="00B82B40" w:rsidP="00B82B40">
      <w:pPr>
        <w:spacing w:after="0" w:line="240" w:lineRule="auto"/>
        <w:contextualSpacing/>
        <w:jc w:val="both"/>
      </w:pPr>
      <w:r>
        <w:t xml:space="preserve">The procedures indicated comprise: </w:t>
      </w:r>
    </w:p>
    <w:p w:rsidR="00B82B40" w:rsidRDefault="001A1220" w:rsidP="00B82B40">
      <w:pPr>
        <w:pStyle w:val="ListParagraph"/>
        <w:numPr>
          <w:ilvl w:val="0"/>
          <w:numId w:val="3"/>
        </w:numPr>
        <w:spacing w:after="0" w:line="240" w:lineRule="auto"/>
        <w:jc w:val="both"/>
      </w:pPr>
      <w:r>
        <w:t>P</w:t>
      </w:r>
      <w:r w:rsidR="00B82B40">
        <w:t xml:space="preserve">sychological </w:t>
      </w:r>
      <w:r>
        <w:t xml:space="preserve">and </w:t>
      </w:r>
      <w:r w:rsidR="00E260AC">
        <w:t>a</w:t>
      </w:r>
      <w:r>
        <w:t xml:space="preserve">ge </w:t>
      </w:r>
      <w:r w:rsidR="00E260AC">
        <w:t>a</w:t>
      </w:r>
      <w:r w:rsidR="00B82B40">
        <w:t>ssessments</w:t>
      </w:r>
      <w:r w:rsidR="00A74B77">
        <w:t>;</w:t>
      </w:r>
    </w:p>
    <w:p w:rsidR="00CE7E50" w:rsidRDefault="000E295D" w:rsidP="00B82B40">
      <w:pPr>
        <w:pStyle w:val="ListParagraph"/>
        <w:numPr>
          <w:ilvl w:val="0"/>
          <w:numId w:val="3"/>
        </w:numPr>
        <w:spacing w:after="0" w:line="240" w:lineRule="auto"/>
        <w:jc w:val="both"/>
      </w:pPr>
      <w:r>
        <w:t>Identifying the behaviour of the child; i</w:t>
      </w:r>
      <w:r w:rsidR="00A74B77">
        <w:t>nterviewing the child;</w:t>
      </w:r>
      <w:r w:rsidR="00CE7E50">
        <w:t xml:space="preserve"> looking at the family unit</w:t>
      </w:r>
      <w:r w:rsidR="00A74B77">
        <w:t>;</w:t>
      </w:r>
      <w:r>
        <w:t xml:space="preserve"> and separating child from abuser; </w:t>
      </w:r>
    </w:p>
    <w:p w:rsidR="00B82B40" w:rsidRDefault="00E260AC" w:rsidP="00B82B40">
      <w:pPr>
        <w:pStyle w:val="ListParagraph"/>
        <w:numPr>
          <w:ilvl w:val="0"/>
          <w:numId w:val="3"/>
        </w:numPr>
        <w:spacing w:after="0" w:line="240" w:lineRule="auto"/>
        <w:jc w:val="both"/>
      </w:pPr>
      <w:r>
        <w:t>Care u</w:t>
      </w:r>
      <w:r w:rsidR="00B82B40">
        <w:t>ni</w:t>
      </w:r>
      <w:r>
        <w:t>t and therapeutic u</w:t>
      </w:r>
      <w:r w:rsidR="00B82B40">
        <w:t>nit follow</w:t>
      </w:r>
      <w:r w:rsidR="000D52AD">
        <w:t>ing</w:t>
      </w:r>
      <w:r w:rsidR="00B82B40">
        <w:t xml:space="preserve"> up cases of GBV</w:t>
      </w:r>
      <w:r w:rsidR="00A74B77">
        <w:t>;</w:t>
      </w:r>
    </w:p>
    <w:p w:rsidR="00B82B40" w:rsidRDefault="00A74B77" w:rsidP="00B82B40">
      <w:pPr>
        <w:pStyle w:val="ListParagraph"/>
        <w:numPr>
          <w:ilvl w:val="0"/>
          <w:numId w:val="3"/>
        </w:numPr>
        <w:spacing w:after="0" w:line="240" w:lineRule="auto"/>
        <w:jc w:val="both"/>
      </w:pPr>
      <w:r>
        <w:t xml:space="preserve">Reporting / referring </w:t>
      </w:r>
      <w:r w:rsidR="000E295D">
        <w:t xml:space="preserve">case </w:t>
      </w:r>
      <w:r>
        <w:t xml:space="preserve">to </w:t>
      </w:r>
      <w:r w:rsidR="000E295D">
        <w:t>social worker, child protection,</w:t>
      </w:r>
      <w:r w:rsidR="00B82B40">
        <w:t xml:space="preserve"> </w:t>
      </w:r>
      <w:r w:rsidR="00E81DC3">
        <w:rPr>
          <w:i/>
        </w:rPr>
        <w:t>A</w:t>
      </w:r>
      <w:r w:rsidR="00E81DC3">
        <w:rPr>
          <w:rFonts w:cs="Calibri"/>
          <w:i/>
        </w:rPr>
        <w:t>ġ</w:t>
      </w:r>
      <w:r w:rsidR="00B82B40" w:rsidRPr="006727F3">
        <w:rPr>
          <w:i/>
        </w:rPr>
        <w:t>enzija Appo</w:t>
      </w:r>
      <w:r w:rsidR="00B82B40" w:rsidRPr="006727F3">
        <w:rPr>
          <w:rFonts w:cs="Calibri"/>
          <w:i/>
        </w:rPr>
        <w:t>ġġ</w:t>
      </w:r>
      <w:r w:rsidR="00B82B40" w:rsidRPr="00D93F3A">
        <w:rPr>
          <w:rStyle w:val="FootnoteReference"/>
          <w:rFonts w:cs="Calibri"/>
        </w:rPr>
        <w:footnoteReference w:id="6"/>
      </w:r>
      <w:r w:rsidR="00B82B40">
        <w:t xml:space="preserve"> (the public national agency for children, families and the community)</w:t>
      </w:r>
      <w:r w:rsidR="000E295D">
        <w:t>, or police if ne</w:t>
      </w:r>
      <w:r>
        <w:t>eded</w:t>
      </w:r>
      <w:r w:rsidR="000E295D">
        <w:t>.</w:t>
      </w:r>
    </w:p>
    <w:p w:rsidR="000E295D" w:rsidRDefault="000E295D" w:rsidP="000E295D">
      <w:pPr>
        <w:spacing w:after="0" w:line="240" w:lineRule="auto"/>
        <w:jc w:val="both"/>
      </w:pPr>
    </w:p>
    <w:p w:rsidR="000E295D" w:rsidRDefault="000E295D" w:rsidP="000E295D">
      <w:pPr>
        <w:spacing w:after="0" w:line="240" w:lineRule="auto"/>
        <w:jc w:val="both"/>
      </w:pPr>
      <w:r>
        <w:lastRenderedPageBreak/>
        <w:t xml:space="preserve">It is interesting to note that some of the answers indicated here comprise referral procedures rather than identification ones, possibly demonstrating the lack of (knowledge of) identification procedures </w:t>
      </w:r>
      <w:r w:rsidR="00D92574">
        <w:t xml:space="preserve">among </w:t>
      </w:r>
      <w:r>
        <w:t xml:space="preserve"> Agency</w:t>
      </w:r>
      <w:r w:rsidR="00D92574">
        <w:t xml:space="preserve"> staff.</w:t>
      </w:r>
      <w:r>
        <w:t xml:space="preserve"> </w:t>
      </w:r>
    </w:p>
    <w:p w:rsidR="005D2207" w:rsidRDefault="005D2207" w:rsidP="0057073E">
      <w:pPr>
        <w:spacing w:after="0" w:line="240" w:lineRule="auto"/>
        <w:contextualSpacing/>
        <w:jc w:val="both"/>
      </w:pPr>
    </w:p>
    <w:p w:rsidR="0012722C" w:rsidRDefault="00F46CC7" w:rsidP="00994F77">
      <w:pPr>
        <w:spacing w:after="0" w:line="240" w:lineRule="auto"/>
        <w:jc w:val="center"/>
        <w:rPr>
          <w:b/>
        </w:rPr>
      </w:pPr>
      <w:r>
        <w:rPr>
          <w:b/>
        </w:rPr>
        <w:t>Figure 2</w:t>
      </w:r>
      <w:r w:rsidR="00CA1F0E">
        <w:rPr>
          <w:b/>
        </w:rPr>
        <w:t xml:space="preserve"> – Awareness of </w:t>
      </w:r>
      <w:r w:rsidR="00666A47">
        <w:rPr>
          <w:b/>
        </w:rPr>
        <w:t xml:space="preserve">Formal / Informal </w:t>
      </w:r>
      <w:r w:rsidR="00CA1F0E">
        <w:rPr>
          <w:b/>
        </w:rPr>
        <w:t>Procedures for Identifying GBV Survivors</w:t>
      </w:r>
    </w:p>
    <w:p w:rsidR="00CA1F0E" w:rsidRDefault="00CB6357" w:rsidP="00F46CC7">
      <w:pPr>
        <w:spacing w:after="0" w:line="240" w:lineRule="auto"/>
        <w:jc w:val="center"/>
      </w:pPr>
      <w:r>
        <w:rPr>
          <w:noProof/>
          <w:lang w:val="en-US"/>
        </w:rPr>
        <w:drawing>
          <wp:inline distT="0" distB="0" distL="0" distR="0">
            <wp:extent cx="3435790" cy="2390115"/>
            <wp:effectExtent l="0" t="0" r="12700" b="1079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46CC7" w:rsidRDefault="00F46CC7" w:rsidP="0057073E">
      <w:pPr>
        <w:spacing w:after="0" w:line="240" w:lineRule="auto"/>
        <w:contextualSpacing/>
        <w:jc w:val="both"/>
      </w:pPr>
    </w:p>
    <w:p w:rsidR="00F46CC7" w:rsidRDefault="00F46CC7" w:rsidP="0057073E">
      <w:pPr>
        <w:spacing w:after="0" w:line="240" w:lineRule="auto"/>
        <w:contextualSpacing/>
        <w:jc w:val="both"/>
      </w:pPr>
    </w:p>
    <w:p w:rsidR="004C1A3D" w:rsidRDefault="004C1A3D" w:rsidP="004C1A3D">
      <w:pPr>
        <w:spacing w:after="0" w:line="240" w:lineRule="auto"/>
        <w:jc w:val="both"/>
      </w:pPr>
    </w:p>
    <w:p w:rsidR="00C60C39" w:rsidRDefault="00295397" w:rsidP="004C1A3D">
      <w:pPr>
        <w:spacing w:after="0" w:line="240" w:lineRule="auto"/>
        <w:jc w:val="both"/>
      </w:pPr>
      <w:r>
        <w:t xml:space="preserve">The </w:t>
      </w:r>
      <w:r w:rsidRPr="004F2B77">
        <w:rPr>
          <w:b/>
        </w:rPr>
        <w:t>majority of respondents (7) indicate</w:t>
      </w:r>
      <w:r w:rsidR="00B07FD4" w:rsidRPr="004F2B77">
        <w:rPr>
          <w:b/>
        </w:rPr>
        <w:t xml:space="preserve"> that GBV is identified by the t</w:t>
      </w:r>
      <w:r w:rsidR="00E260AC">
        <w:rPr>
          <w:b/>
        </w:rPr>
        <w:t>herapeutic unit</w:t>
      </w:r>
      <w:r w:rsidR="00F31510">
        <w:t>; while 3 respondents</w:t>
      </w:r>
      <w:r w:rsidR="00144924">
        <w:rPr>
          <w:rStyle w:val="FootnoteReference"/>
        </w:rPr>
        <w:footnoteReference w:id="7"/>
      </w:r>
      <w:r w:rsidR="00F31510">
        <w:t xml:space="preserve"> mention the care team or care workers, social workers and support workers. </w:t>
      </w:r>
      <w:r w:rsidR="00144924">
        <w:t xml:space="preserve">Two respondents also mention coordinators while another indicates that everyone who has contact with clients identifies GBV. </w:t>
      </w:r>
    </w:p>
    <w:p w:rsidR="00C60C39" w:rsidRDefault="00C60C39" w:rsidP="004C1A3D">
      <w:pPr>
        <w:spacing w:after="0" w:line="240" w:lineRule="auto"/>
        <w:jc w:val="both"/>
      </w:pPr>
    </w:p>
    <w:p w:rsidR="004C1A3D" w:rsidRDefault="004C1A3D" w:rsidP="004C1A3D">
      <w:pPr>
        <w:spacing w:after="0" w:line="240" w:lineRule="auto"/>
        <w:jc w:val="both"/>
      </w:pPr>
      <w:r>
        <w:t xml:space="preserve">The </w:t>
      </w:r>
      <w:r w:rsidRPr="004F2B77">
        <w:rPr>
          <w:b/>
        </w:rPr>
        <w:t>most common type of GBV identified is physical abuse</w:t>
      </w:r>
      <w:r>
        <w:t xml:space="preserve"> (8 respondents), </w:t>
      </w:r>
      <w:r w:rsidRPr="008803DD">
        <w:rPr>
          <w:b/>
        </w:rPr>
        <w:t>followed by emotional and sexual abuse</w:t>
      </w:r>
      <w:r>
        <w:t xml:space="preserve"> (7 and 6 respondents respectively</w:t>
      </w:r>
      <w:r w:rsidR="004169FD">
        <w:t xml:space="preserve">). </w:t>
      </w:r>
      <w:r w:rsidR="00C60C39" w:rsidRPr="008803DD">
        <w:rPr>
          <w:b/>
        </w:rPr>
        <w:t xml:space="preserve">Gender-based discrimination </w:t>
      </w:r>
      <w:r w:rsidR="00294713">
        <w:rPr>
          <w:b/>
        </w:rPr>
        <w:t>i</w:t>
      </w:r>
      <w:r w:rsidR="004169FD" w:rsidRPr="008803DD">
        <w:rPr>
          <w:b/>
        </w:rPr>
        <w:t xml:space="preserve">s </w:t>
      </w:r>
      <w:r w:rsidR="008803DD">
        <w:rPr>
          <w:b/>
        </w:rPr>
        <w:t>also indicated by six</w:t>
      </w:r>
      <w:r w:rsidR="004169FD" w:rsidRPr="008803DD">
        <w:rPr>
          <w:b/>
        </w:rPr>
        <w:t xml:space="preserve"> respondents</w:t>
      </w:r>
      <w:r w:rsidR="00294713">
        <w:rPr>
          <w:b/>
        </w:rPr>
        <w:t>;</w:t>
      </w:r>
      <w:r w:rsidR="004169FD" w:rsidRPr="008803DD">
        <w:rPr>
          <w:b/>
        </w:rPr>
        <w:t xml:space="preserve"> </w:t>
      </w:r>
      <w:r w:rsidR="004169FD" w:rsidRPr="009725C9">
        <w:t>while</w:t>
      </w:r>
      <w:r w:rsidR="004169FD">
        <w:t xml:space="preserve"> </w:t>
      </w:r>
      <w:r w:rsidR="00294713">
        <w:t>denial of resources is</w:t>
      </w:r>
      <w:r w:rsidR="00C60C39">
        <w:t xml:space="preserve"> indicated by </w:t>
      </w:r>
      <w:r w:rsidR="00294713">
        <w:t>5. One respondent also indicates</w:t>
      </w:r>
      <w:r w:rsidR="00C60C39">
        <w:t xml:space="preserve"> </w:t>
      </w:r>
      <w:r w:rsidR="008803DD">
        <w:t xml:space="preserve">abuse in the workplace as </w:t>
      </w:r>
      <w:r w:rsidR="00C60C39">
        <w:t>another type of GB</w:t>
      </w:r>
      <w:r w:rsidR="008803DD">
        <w:t>V identified.</w:t>
      </w:r>
      <w:r w:rsidR="00C60C39">
        <w:t xml:space="preserve"> </w:t>
      </w:r>
    </w:p>
    <w:p w:rsidR="00C60C39" w:rsidRDefault="00C60C39" w:rsidP="004C1A3D">
      <w:pPr>
        <w:spacing w:after="0" w:line="240" w:lineRule="auto"/>
        <w:jc w:val="both"/>
      </w:pPr>
    </w:p>
    <w:p w:rsidR="001C67D4" w:rsidRDefault="001C67D4" w:rsidP="001C67D4">
      <w:pPr>
        <w:spacing w:after="0" w:line="240" w:lineRule="auto"/>
        <w:jc w:val="both"/>
      </w:pPr>
      <w:r w:rsidRPr="00C20E5C">
        <w:t>As seen in Figure 3,</w:t>
      </w:r>
      <w:r>
        <w:rPr>
          <w:b/>
        </w:rPr>
        <w:t xml:space="preserve"> f</w:t>
      </w:r>
      <w:r w:rsidRPr="008803DD">
        <w:rPr>
          <w:b/>
        </w:rPr>
        <w:t>ive respondents feel</w:t>
      </w:r>
      <w:r>
        <w:rPr>
          <w:b/>
        </w:rPr>
        <w:t xml:space="preserve"> ‘very’ comfortable dealing with</w:t>
      </w:r>
      <w:r w:rsidRPr="008803DD">
        <w:rPr>
          <w:b/>
        </w:rPr>
        <w:t xml:space="preserve"> </w:t>
      </w:r>
      <w:r>
        <w:rPr>
          <w:b/>
        </w:rPr>
        <w:t xml:space="preserve">a </w:t>
      </w:r>
      <w:r w:rsidRPr="008803DD">
        <w:rPr>
          <w:b/>
        </w:rPr>
        <w:t>child disclosure</w:t>
      </w:r>
      <w:r>
        <w:t xml:space="preserve">, while two feel only ‘somewhat’ comfortable. One respondent does not really feel comfortable, while one does not know. These findings mark </w:t>
      </w:r>
      <w:r w:rsidR="00FB7925">
        <w:t>an increase – from the first data collection – in the percentage of respondents feeling comfortable with a child disclosure</w:t>
      </w:r>
      <w:r w:rsidR="00C1194C">
        <w:t xml:space="preserve">. </w:t>
      </w:r>
      <w:r w:rsidR="00C1194C" w:rsidRPr="0001137C">
        <w:t>While in the first data collection only</w:t>
      </w:r>
      <w:r w:rsidR="00C1194C">
        <w:t xml:space="preserve"> </w:t>
      </w:r>
      <w:r w:rsidR="0001137C">
        <w:t>around one third of the respondents indicated that they were ‘very’ comfortable with such disclosures, in this round of data collection, more than half of the respondents answer in this way.</w:t>
      </w:r>
      <w:r w:rsidR="00D30220">
        <w:t xml:space="preserve"> Furthermore, in the first round, almost half of the respondents indicated they were ‘somewhat’ </w:t>
      </w:r>
      <w:r w:rsidR="00D30220">
        <w:lastRenderedPageBreak/>
        <w:t>comfortable, while this time round, less than one fourth do so.</w:t>
      </w:r>
      <w:r w:rsidR="0001137C">
        <w:t xml:space="preserve"> F</w:t>
      </w:r>
      <w:r w:rsidR="00D30220">
        <w:t>inally</w:t>
      </w:r>
      <w:r w:rsidR="0001137C">
        <w:t xml:space="preserve">, </w:t>
      </w:r>
      <w:r w:rsidR="00D30220">
        <w:t xml:space="preserve">while in the first round one respondent indicated that they were not at all comfortable, this time round no one indicates this. </w:t>
      </w:r>
    </w:p>
    <w:p w:rsidR="00D30220" w:rsidRDefault="00D30220" w:rsidP="001C67D4">
      <w:pPr>
        <w:spacing w:after="0" w:line="240" w:lineRule="auto"/>
        <w:jc w:val="both"/>
      </w:pPr>
    </w:p>
    <w:p w:rsidR="00994F77" w:rsidRDefault="00994F77" w:rsidP="001C67D4">
      <w:pPr>
        <w:spacing w:after="0" w:line="240" w:lineRule="auto"/>
        <w:jc w:val="both"/>
      </w:pPr>
    </w:p>
    <w:p w:rsidR="001014C6" w:rsidRDefault="001014C6" w:rsidP="001C67D4">
      <w:pPr>
        <w:spacing w:after="0" w:line="240" w:lineRule="auto"/>
        <w:jc w:val="both"/>
      </w:pPr>
    </w:p>
    <w:p w:rsidR="001014C6" w:rsidRDefault="001014C6" w:rsidP="001C67D4">
      <w:pPr>
        <w:spacing w:after="0" w:line="240" w:lineRule="auto"/>
        <w:jc w:val="both"/>
      </w:pPr>
    </w:p>
    <w:p w:rsidR="00FB7925" w:rsidRDefault="00FB7925" w:rsidP="001C67D4">
      <w:pPr>
        <w:spacing w:after="0" w:line="240" w:lineRule="auto"/>
        <w:jc w:val="both"/>
      </w:pPr>
    </w:p>
    <w:p w:rsidR="001C67D4" w:rsidRDefault="001C67D4" w:rsidP="00994F77">
      <w:pPr>
        <w:spacing w:after="0" w:line="240" w:lineRule="auto"/>
        <w:jc w:val="center"/>
      </w:pPr>
      <w:r>
        <w:rPr>
          <w:b/>
        </w:rPr>
        <w:t>Figure 3 – Comfortableness in dealing with child disclosure</w:t>
      </w:r>
    </w:p>
    <w:p w:rsidR="001C67D4" w:rsidRDefault="001C67D4" w:rsidP="001C67D4">
      <w:pPr>
        <w:spacing w:after="0" w:line="240" w:lineRule="auto"/>
        <w:jc w:val="center"/>
      </w:pPr>
      <w:r>
        <w:rPr>
          <w:noProof/>
          <w:lang w:val="en-US"/>
        </w:rPr>
        <w:drawing>
          <wp:inline distT="0" distB="0" distL="0" distR="0">
            <wp:extent cx="3888463" cy="2064190"/>
            <wp:effectExtent l="0" t="0" r="17145" b="127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97A15" w:rsidRDefault="00397A15" w:rsidP="004C1A3D">
      <w:pPr>
        <w:spacing w:after="0" w:line="240" w:lineRule="auto"/>
        <w:jc w:val="both"/>
      </w:pPr>
    </w:p>
    <w:p w:rsidR="0029247C" w:rsidRDefault="001A415B" w:rsidP="00B07FD4">
      <w:pPr>
        <w:spacing w:after="0" w:line="240" w:lineRule="auto"/>
        <w:jc w:val="both"/>
      </w:pPr>
      <w:r w:rsidRPr="008141E7">
        <w:t>When a GBV case is identified among children or youth, t</w:t>
      </w:r>
      <w:r w:rsidR="00397A15" w:rsidRPr="008141E7">
        <w:t>he first step</w:t>
      </w:r>
      <w:r w:rsidRPr="008141E7">
        <w:t xml:space="preserve">, according to </w:t>
      </w:r>
      <w:r w:rsidR="000F65A5">
        <w:t>the majority (6</w:t>
      </w:r>
      <w:r w:rsidR="00B07FD4" w:rsidRPr="008141E7">
        <w:t xml:space="preserve"> respondents</w:t>
      </w:r>
      <w:r w:rsidR="00A01DDB" w:rsidRPr="008141E7">
        <w:t>)</w:t>
      </w:r>
      <w:r w:rsidRPr="008141E7">
        <w:t>, i</w:t>
      </w:r>
      <w:r w:rsidR="00B07FD4" w:rsidRPr="008141E7">
        <w:t xml:space="preserve">s </w:t>
      </w:r>
      <w:r w:rsidR="008141E7">
        <w:t xml:space="preserve">liaising with / </w:t>
      </w:r>
      <w:r w:rsidR="00B07FD4" w:rsidRPr="008141E7">
        <w:t xml:space="preserve">reporting </w:t>
      </w:r>
      <w:r w:rsidR="008141E7" w:rsidRPr="008141E7">
        <w:t>or referring them</w:t>
      </w:r>
      <w:r w:rsidR="00B07FD4" w:rsidRPr="008141E7">
        <w:t xml:space="preserve"> to </w:t>
      </w:r>
      <w:r w:rsidR="00A01DDB" w:rsidRPr="008141E7">
        <w:t xml:space="preserve">their leader, </w:t>
      </w:r>
      <w:r w:rsidRPr="008141E7">
        <w:t>the therapeutic unit</w:t>
      </w:r>
      <w:r w:rsidR="00A01DDB" w:rsidRPr="008141E7">
        <w:t xml:space="preserve">, </w:t>
      </w:r>
      <w:r w:rsidR="00B07FD4" w:rsidRPr="008141E7">
        <w:t xml:space="preserve">social worker </w:t>
      </w:r>
      <w:r w:rsidR="00FD0C51" w:rsidRPr="008141E7">
        <w:t xml:space="preserve">or other </w:t>
      </w:r>
      <w:r w:rsidR="00A01DDB" w:rsidRPr="008141E7">
        <w:t>professional</w:t>
      </w:r>
      <w:r w:rsidR="00FD0C51" w:rsidRPr="008141E7">
        <w:t>s who are</w:t>
      </w:r>
      <w:r w:rsidR="00A01DDB" w:rsidRPr="008141E7">
        <w:t xml:space="preserve"> able to deal with GBV.</w:t>
      </w:r>
      <w:r w:rsidR="00112E62" w:rsidRPr="008141E7">
        <w:t xml:space="preserve"> One of these respondents indicates she would first provide a safe space</w:t>
      </w:r>
      <w:r w:rsidR="008141E7">
        <w:t>;</w:t>
      </w:r>
      <w:r w:rsidR="00A01DDB" w:rsidRPr="008141E7">
        <w:t xml:space="preserve"> </w:t>
      </w:r>
      <w:r w:rsidR="008141E7">
        <w:t xml:space="preserve">while other respondents mention that they </w:t>
      </w:r>
      <w:r w:rsidR="00112E62">
        <w:t xml:space="preserve">would </w:t>
      </w:r>
      <w:r w:rsidR="008141E7">
        <w:t>explain issues of confidentially, conduct an interview,</w:t>
      </w:r>
      <w:r w:rsidR="00112E62">
        <w:t xml:space="preserve"> listen carefully, </w:t>
      </w:r>
      <w:r w:rsidR="008141E7">
        <w:t xml:space="preserve">and </w:t>
      </w:r>
      <w:r w:rsidR="00112E62">
        <w:t>s</w:t>
      </w:r>
      <w:r w:rsidR="00112E62" w:rsidRPr="00112E62">
        <w:t xml:space="preserve">upport the client </w:t>
      </w:r>
      <w:r w:rsidR="008141E7">
        <w:t>during disclosure</w:t>
      </w:r>
      <w:r w:rsidR="00112E62" w:rsidRPr="00112E62">
        <w:t>.</w:t>
      </w:r>
    </w:p>
    <w:p w:rsidR="00D66AA1" w:rsidRDefault="00D66AA1" w:rsidP="00B07FD4">
      <w:pPr>
        <w:spacing w:after="0" w:line="240" w:lineRule="auto"/>
        <w:jc w:val="both"/>
      </w:pPr>
    </w:p>
    <w:p w:rsidR="00D66AA1" w:rsidRDefault="00D66AA1" w:rsidP="00B07FD4">
      <w:pPr>
        <w:spacing w:after="0" w:line="240" w:lineRule="auto"/>
        <w:jc w:val="both"/>
      </w:pPr>
      <w:r>
        <w:t xml:space="preserve">Finally, </w:t>
      </w:r>
      <w:r w:rsidR="001B1435">
        <w:t xml:space="preserve">two respondents add that it is very challenging to identify survivors; and that procedures </w:t>
      </w:r>
      <w:r w:rsidR="00AB4623">
        <w:t xml:space="preserve">for such identification </w:t>
      </w:r>
      <w:r w:rsidR="001B1435">
        <w:t>are not exact</w:t>
      </w:r>
      <w:r w:rsidR="00FC13B8">
        <w:t>, with one respondent indicating</w:t>
      </w:r>
      <w:r w:rsidR="00ED0584">
        <w:t xml:space="preserve"> that it would be beneficial to have clear procedu</w:t>
      </w:r>
      <w:r w:rsidR="008A6261">
        <w:t>res where it concerns children /</w:t>
      </w:r>
      <w:r w:rsidR="00ED0584">
        <w:t xml:space="preserve"> youth and GBV.</w:t>
      </w:r>
      <w:r w:rsidR="001B1435">
        <w:t xml:space="preserve"> </w:t>
      </w:r>
    </w:p>
    <w:p w:rsidR="00B07FD4" w:rsidRDefault="00B07FD4" w:rsidP="0057073E">
      <w:pPr>
        <w:spacing w:after="0" w:line="240" w:lineRule="auto"/>
        <w:contextualSpacing/>
        <w:jc w:val="both"/>
        <w:rPr>
          <w:b/>
        </w:rPr>
      </w:pPr>
    </w:p>
    <w:p w:rsidR="00DF5C3A" w:rsidRDefault="007857D3" w:rsidP="0057073E">
      <w:pPr>
        <w:spacing w:after="0" w:line="240" w:lineRule="auto"/>
        <w:contextualSpacing/>
        <w:jc w:val="both"/>
      </w:pPr>
      <w:proofErr w:type="gramStart"/>
      <w:r>
        <w:rPr>
          <w:b/>
        </w:rPr>
        <w:t>GBV Survivor Referral Procedures</w:t>
      </w:r>
      <w:r w:rsidR="00E5514C" w:rsidRPr="00E5514C">
        <w:t>.</w:t>
      </w:r>
      <w:proofErr w:type="gramEnd"/>
      <w:r w:rsidR="00E5514C" w:rsidRPr="00E5514C">
        <w:t xml:space="preserve"> </w:t>
      </w:r>
      <w:r w:rsidR="003F569D">
        <w:t xml:space="preserve">As seen in Figure 4, </w:t>
      </w:r>
      <w:r w:rsidR="003F569D">
        <w:rPr>
          <w:b/>
        </w:rPr>
        <w:t>o</w:t>
      </w:r>
      <w:r w:rsidR="00E34EB2" w:rsidRPr="003F569D">
        <w:rPr>
          <w:b/>
        </w:rPr>
        <w:t>nly two</w:t>
      </w:r>
      <w:r w:rsidR="003F569D">
        <w:rPr>
          <w:b/>
        </w:rPr>
        <w:t xml:space="preserve"> respondents</w:t>
      </w:r>
      <w:r w:rsidR="00E34EB2" w:rsidRPr="003F569D">
        <w:rPr>
          <w:b/>
        </w:rPr>
        <w:t xml:space="preserve"> </w:t>
      </w:r>
      <w:r w:rsidR="00E34EB2" w:rsidRPr="003F569D">
        <w:t>(the coordinator and the professional from the centre team)</w:t>
      </w:r>
      <w:r w:rsidR="00E34EB2" w:rsidRPr="003F569D">
        <w:rPr>
          <w:b/>
        </w:rPr>
        <w:t xml:space="preserve"> </w:t>
      </w:r>
      <w:r w:rsidR="00E34EB2" w:rsidRPr="003F569D">
        <w:t>indicate that they</w:t>
      </w:r>
      <w:r w:rsidR="00E34EB2" w:rsidRPr="003F569D">
        <w:rPr>
          <w:b/>
        </w:rPr>
        <w:t xml:space="preserve"> follow written protocols when referring a child / young person identified as a GBV survivor</w:t>
      </w:r>
      <w:r w:rsidR="003F569D">
        <w:t>. Mean</w:t>
      </w:r>
      <w:r w:rsidR="001049DE">
        <w:t>while</w:t>
      </w:r>
      <w:r w:rsidR="003F569D">
        <w:t>,</w:t>
      </w:r>
      <w:r w:rsidR="00E34EB2">
        <w:t xml:space="preserve"> </w:t>
      </w:r>
      <w:r w:rsidR="009152EC">
        <w:t xml:space="preserve">almost half </w:t>
      </w:r>
      <w:r w:rsidR="009152EC" w:rsidRPr="009152EC">
        <w:rPr>
          <w:b/>
        </w:rPr>
        <w:t>(</w:t>
      </w:r>
      <w:r w:rsidR="009152EC">
        <w:rPr>
          <w:b/>
        </w:rPr>
        <w:t>4)</w:t>
      </w:r>
      <w:r w:rsidR="000D72E9" w:rsidRPr="003F569D">
        <w:rPr>
          <w:b/>
        </w:rPr>
        <w:t xml:space="preserve"> </w:t>
      </w:r>
      <w:r w:rsidR="009152EC">
        <w:rPr>
          <w:b/>
        </w:rPr>
        <w:t xml:space="preserve">of the </w:t>
      </w:r>
      <w:r w:rsidR="000D72E9" w:rsidRPr="003F569D">
        <w:rPr>
          <w:b/>
        </w:rPr>
        <w:t>respondents indicate that their agency follows informal mechanisms</w:t>
      </w:r>
      <w:r w:rsidR="009152EC" w:rsidRPr="009152EC">
        <w:t>; while</w:t>
      </w:r>
      <w:r w:rsidR="009152EC">
        <w:rPr>
          <w:b/>
        </w:rPr>
        <w:t xml:space="preserve"> </w:t>
      </w:r>
      <w:r w:rsidR="009152EC" w:rsidRPr="003F569D">
        <w:rPr>
          <w:b/>
        </w:rPr>
        <w:t>two respondents indicate that they do not know</w:t>
      </w:r>
      <w:r w:rsidR="009152EC">
        <w:t xml:space="preserve"> whether their agency has either formal or informal procedures for such referrals</w:t>
      </w:r>
      <w:r w:rsidR="000D72E9">
        <w:t xml:space="preserve">. </w:t>
      </w:r>
      <w:r w:rsidR="001049DE" w:rsidRPr="00586C67">
        <w:t xml:space="preserve">One respondent </w:t>
      </w:r>
      <w:r w:rsidR="003F569D" w:rsidRPr="00586C67">
        <w:t>specifie</w:t>
      </w:r>
      <w:r w:rsidR="00420183" w:rsidRPr="00586C67">
        <w:t>s that they do not refer GBV survivors</w:t>
      </w:r>
      <w:r w:rsidR="00420183" w:rsidRPr="00D21D92">
        <w:t xml:space="preserve">. </w:t>
      </w:r>
      <w:r w:rsidR="00DF5C3A" w:rsidRPr="00D21D92">
        <w:t xml:space="preserve">These </w:t>
      </w:r>
      <w:r w:rsidR="00DF5C3A" w:rsidRPr="00B00544">
        <w:rPr>
          <w:b/>
        </w:rPr>
        <w:t xml:space="preserve">findings are similar to those reported on the care professionals’ awareness </w:t>
      </w:r>
      <w:r w:rsidR="00D21D92" w:rsidRPr="00B00544">
        <w:rPr>
          <w:b/>
        </w:rPr>
        <w:t>of GBV survivor identification procedures</w:t>
      </w:r>
      <w:r w:rsidR="00D21D92">
        <w:t xml:space="preserve"> (see Figure 2)</w:t>
      </w:r>
      <w:proofErr w:type="gramStart"/>
      <w:r w:rsidR="00D21D92">
        <w:t>,</w:t>
      </w:r>
      <w:proofErr w:type="gramEnd"/>
      <w:r w:rsidR="00D21D92">
        <w:t xml:space="preserve"> where the same two respondents demonstrate knowledge of formal procedures while almost half mention</w:t>
      </w:r>
      <w:r w:rsidR="00A80FDF">
        <w:t xml:space="preserve"> informal ones and two to </w:t>
      </w:r>
      <w:r w:rsidR="00D21D92">
        <w:t xml:space="preserve">three respondents do not know. </w:t>
      </w:r>
    </w:p>
    <w:p w:rsidR="003F569D" w:rsidRDefault="003F569D" w:rsidP="0057073E">
      <w:pPr>
        <w:spacing w:after="0" w:line="240" w:lineRule="auto"/>
        <w:contextualSpacing/>
        <w:jc w:val="both"/>
      </w:pPr>
    </w:p>
    <w:p w:rsidR="00994F77" w:rsidRDefault="00994F77" w:rsidP="00994F77">
      <w:pPr>
        <w:spacing w:after="0" w:line="240" w:lineRule="auto"/>
        <w:jc w:val="center"/>
        <w:rPr>
          <w:b/>
        </w:rPr>
      </w:pPr>
      <w:r>
        <w:rPr>
          <w:b/>
        </w:rPr>
        <w:lastRenderedPageBreak/>
        <w:t>Figure 4</w:t>
      </w:r>
      <w:r w:rsidR="00654CB1">
        <w:rPr>
          <w:b/>
        </w:rPr>
        <w:t xml:space="preserve"> – GBV Survivor Referral Procedures</w:t>
      </w:r>
    </w:p>
    <w:p w:rsidR="00654CB1" w:rsidRDefault="00870961" w:rsidP="00994F77">
      <w:pPr>
        <w:spacing w:after="0" w:line="240" w:lineRule="auto"/>
        <w:jc w:val="center"/>
      </w:pPr>
      <w:r>
        <w:rPr>
          <w:noProof/>
          <w:lang w:val="en-US"/>
        </w:rPr>
        <w:drawing>
          <wp:inline distT="0" distB="0" distL="0" distR="0">
            <wp:extent cx="3834143" cy="2014396"/>
            <wp:effectExtent l="0" t="0" r="13970" b="2413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F569D" w:rsidRDefault="003F569D" w:rsidP="00994F77">
      <w:pPr>
        <w:spacing w:after="0" w:line="240" w:lineRule="auto"/>
        <w:contextualSpacing/>
        <w:jc w:val="center"/>
      </w:pPr>
    </w:p>
    <w:p w:rsidR="000D72E9" w:rsidRDefault="000D72E9" w:rsidP="0057073E">
      <w:pPr>
        <w:spacing w:after="0" w:line="240" w:lineRule="auto"/>
        <w:contextualSpacing/>
        <w:jc w:val="both"/>
      </w:pPr>
    </w:p>
    <w:p w:rsidR="0057073E" w:rsidRDefault="00D21D92" w:rsidP="0057073E">
      <w:pPr>
        <w:spacing w:after="0" w:line="240" w:lineRule="auto"/>
        <w:contextualSpacing/>
        <w:jc w:val="both"/>
      </w:pPr>
      <w:r>
        <w:t>F</w:t>
      </w:r>
      <w:r w:rsidR="00A033A5">
        <w:t xml:space="preserve">our respondents </w:t>
      </w:r>
      <w:r>
        <w:t>then delineate</w:t>
      </w:r>
      <w:r w:rsidR="00A033A5">
        <w:t xml:space="preserve"> the procedures </w:t>
      </w:r>
      <w:r>
        <w:t>used in</w:t>
      </w:r>
      <w:r w:rsidR="00A033A5">
        <w:t xml:space="preserve"> referrin</w:t>
      </w:r>
      <w:r>
        <w:t>g GBV survivors among children and</w:t>
      </w:r>
      <w:r w:rsidR="00A033A5">
        <w:t xml:space="preserve"> </w:t>
      </w:r>
      <w:r w:rsidR="003F569D">
        <w:t>youth</w:t>
      </w:r>
      <w:r>
        <w:t xml:space="preserve">, which comprise reporting or referring the case to a doctor, social worker, legal guardian, psychological team, other professionals and / or </w:t>
      </w:r>
      <w:r w:rsidR="00E81DC3">
        <w:rPr>
          <w:i/>
        </w:rPr>
        <w:t>A</w:t>
      </w:r>
      <w:r w:rsidR="00E81DC3">
        <w:rPr>
          <w:rFonts w:cs="Calibri"/>
          <w:i/>
        </w:rPr>
        <w:t>ġ</w:t>
      </w:r>
      <w:r w:rsidRPr="00D21D92">
        <w:rPr>
          <w:i/>
        </w:rPr>
        <w:t>enzija Appoġġ</w:t>
      </w:r>
      <w:r w:rsidR="00F421B5">
        <w:t xml:space="preserve">. </w:t>
      </w:r>
      <w:r w:rsidR="0026704D">
        <w:t>(</w:t>
      </w:r>
      <w:r w:rsidR="00144924">
        <w:t>In previous que</w:t>
      </w:r>
      <w:r w:rsidR="0026704D">
        <w:t>stions, one respondent indicates</w:t>
      </w:r>
      <w:r w:rsidR="00144924">
        <w:t xml:space="preserve"> that sometimes c</w:t>
      </w:r>
      <w:r w:rsidR="00144924" w:rsidRPr="00144924">
        <w:t xml:space="preserve">oordinators and/or support workers would notice certain behaviours among clients and refer the client </w:t>
      </w:r>
      <w:r w:rsidR="00B07FD4">
        <w:t>to professionals working within</w:t>
      </w:r>
      <w:r w:rsidR="0026704D">
        <w:t xml:space="preserve"> AWAS, including </w:t>
      </w:r>
      <w:r w:rsidR="00144924" w:rsidRPr="00144924">
        <w:t>social worker</w:t>
      </w:r>
      <w:r w:rsidR="00A80FDF">
        <w:t>s</w:t>
      </w:r>
      <w:r w:rsidR="0026704D">
        <w:t>, counsellor</w:t>
      </w:r>
      <w:r w:rsidR="00A80FDF">
        <w:t>s</w:t>
      </w:r>
      <w:r w:rsidR="0026704D">
        <w:t>, assistant psychology officer</w:t>
      </w:r>
      <w:r w:rsidR="00A80FDF">
        <w:t>s</w:t>
      </w:r>
      <w:r w:rsidR="0026704D">
        <w:t>, psychologist</w:t>
      </w:r>
      <w:r w:rsidR="00A80FDF">
        <w:t>s</w:t>
      </w:r>
      <w:r w:rsidR="0026704D">
        <w:t xml:space="preserve">, and </w:t>
      </w:r>
      <w:r w:rsidR="00A80FDF">
        <w:t xml:space="preserve">/ </w:t>
      </w:r>
      <w:r w:rsidR="0026704D">
        <w:t xml:space="preserve">or </w:t>
      </w:r>
      <w:r w:rsidR="00144924" w:rsidRPr="00144924">
        <w:t>nurse</w:t>
      </w:r>
      <w:r w:rsidR="00A80FDF">
        <w:t>s</w:t>
      </w:r>
      <w:r w:rsidR="000333FA">
        <w:t>)</w:t>
      </w:r>
      <w:r w:rsidR="00144924">
        <w:t>.</w:t>
      </w:r>
    </w:p>
    <w:p w:rsidR="000333FA" w:rsidRDefault="000333FA" w:rsidP="0057073E">
      <w:pPr>
        <w:spacing w:after="0" w:line="240" w:lineRule="auto"/>
        <w:contextualSpacing/>
        <w:jc w:val="both"/>
      </w:pPr>
    </w:p>
    <w:p w:rsidR="000333FA" w:rsidRDefault="00E85C60" w:rsidP="0057073E">
      <w:pPr>
        <w:spacing w:after="0" w:line="240" w:lineRule="auto"/>
        <w:contextualSpacing/>
        <w:jc w:val="both"/>
      </w:pPr>
      <w:r>
        <w:t>Two respondents add tha</w:t>
      </w:r>
      <w:r w:rsidR="00BF480C">
        <w:t xml:space="preserve">t </w:t>
      </w:r>
      <w:r w:rsidR="0013701D">
        <w:t>the referral process takes too long a</w:t>
      </w:r>
      <w:r w:rsidR="00BF480C">
        <w:t>nd people</w:t>
      </w:r>
      <w:r w:rsidR="00B00544">
        <w:t xml:space="preserve"> tend to</w:t>
      </w:r>
      <w:r w:rsidR="00BF480C">
        <w:t xml:space="preserve"> give up; and t</w:t>
      </w:r>
      <w:r w:rsidR="0013701D">
        <w:t xml:space="preserve">hat it is important to </w:t>
      </w:r>
      <w:r w:rsidR="00BF480C">
        <w:t>assess the actual situation of the person and to know their family history</w:t>
      </w:r>
      <w:r w:rsidR="0013701D">
        <w:t xml:space="preserve">. </w:t>
      </w:r>
    </w:p>
    <w:p w:rsidR="0057073E" w:rsidRDefault="0057073E" w:rsidP="0057073E">
      <w:pPr>
        <w:spacing w:after="0" w:line="240" w:lineRule="auto"/>
        <w:contextualSpacing/>
        <w:jc w:val="both"/>
      </w:pPr>
    </w:p>
    <w:p w:rsidR="001C175F" w:rsidRDefault="008D6899" w:rsidP="000936C7">
      <w:pPr>
        <w:spacing w:after="0" w:line="240" w:lineRule="auto"/>
        <w:contextualSpacing/>
        <w:jc w:val="both"/>
      </w:pPr>
      <w:proofErr w:type="gramStart"/>
      <w:r>
        <w:rPr>
          <w:b/>
        </w:rPr>
        <w:t>Areas of Need of GBV Survivors.</w:t>
      </w:r>
      <w:proofErr w:type="gramEnd"/>
      <w:r>
        <w:rPr>
          <w:b/>
        </w:rPr>
        <w:t xml:space="preserve"> </w:t>
      </w:r>
      <w:r w:rsidR="007C249E">
        <w:t xml:space="preserve">The </w:t>
      </w:r>
      <w:r w:rsidR="000C2B84">
        <w:t>large majority of respondents (8) indicate that the</w:t>
      </w:r>
      <w:r w:rsidR="007C249E">
        <w:t xml:space="preserve"> main areas of need </w:t>
      </w:r>
      <w:r w:rsidR="00B00544">
        <w:t>(in relation to GBV) delineated in the questionnaire</w:t>
      </w:r>
      <w:r w:rsidR="007C249E">
        <w:t xml:space="preserve"> are needed by children and</w:t>
      </w:r>
      <w:r w:rsidR="00B00544">
        <w:t xml:space="preserve"> youth</w:t>
      </w:r>
      <w:r w:rsidR="007C249E">
        <w:t>,</w:t>
      </w:r>
      <w:r w:rsidR="00B00544">
        <w:t xml:space="preserve"> that is</w:t>
      </w:r>
      <w:r w:rsidR="007C249E">
        <w:t>: psychosocial support,</w:t>
      </w:r>
      <w:r w:rsidR="000C2B84">
        <w:t xml:space="preserve"> health care, legal assistance </w:t>
      </w:r>
      <w:r w:rsidR="007C249E">
        <w:t>an</w:t>
      </w:r>
      <w:r w:rsidR="00B00544">
        <w:t xml:space="preserve">d translation service; </w:t>
      </w:r>
      <w:r w:rsidR="00852BEE">
        <w:t>while s</w:t>
      </w:r>
      <w:r w:rsidR="00B00544">
        <w:t>even of the same respondents</w:t>
      </w:r>
      <w:r w:rsidR="000C2B84">
        <w:t xml:space="preserve"> indicate that the child protection program is also a main area of need. </w:t>
      </w:r>
    </w:p>
    <w:p w:rsidR="000C2B84" w:rsidRDefault="000C2B84" w:rsidP="000936C7">
      <w:pPr>
        <w:spacing w:after="0" w:line="240" w:lineRule="auto"/>
        <w:contextualSpacing/>
        <w:jc w:val="both"/>
      </w:pPr>
    </w:p>
    <w:p w:rsidR="000C2B84" w:rsidRDefault="000C2B84" w:rsidP="000936C7">
      <w:pPr>
        <w:spacing w:after="0" w:line="240" w:lineRule="auto"/>
        <w:contextualSpacing/>
        <w:jc w:val="both"/>
      </w:pPr>
      <w:r>
        <w:t xml:space="preserve">When asked </w:t>
      </w:r>
      <w:r w:rsidRPr="000C2B84">
        <w:rPr>
          <w:b/>
        </w:rPr>
        <w:t>when a</w:t>
      </w:r>
      <w:r>
        <w:t xml:space="preserve"> </w:t>
      </w:r>
      <w:r w:rsidRPr="000C2B84">
        <w:rPr>
          <w:b/>
        </w:rPr>
        <w:t xml:space="preserve">case of GBV should be reported to the </w:t>
      </w:r>
      <w:r w:rsidR="00B00544">
        <w:rPr>
          <w:b/>
        </w:rPr>
        <w:t>p</w:t>
      </w:r>
      <w:r w:rsidRPr="000C2B84">
        <w:rPr>
          <w:b/>
        </w:rPr>
        <w:t>olice</w:t>
      </w:r>
      <w:r>
        <w:t xml:space="preserve">, </w:t>
      </w:r>
      <w:r w:rsidR="00A73311">
        <w:t>the seven respondents who answer indicate</w:t>
      </w:r>
      <w:r w:rsidR="00B00544">
        <w:t xml:space="preserve"> the following situations</w:t>
      </w:r>
      <w:r w:rsidR="00A73311">
        <w:t>:</w:t>
      </w:r>
    </w:p>
    <w:p w:rsidR="00E50947" w:rsidRDefault="00E50947" w:rsidP="00E50947">
      <w:pPr>
        <w:pStyle w:val="ListParagraph"/>
        <w:numPr>
          <w:ilvl w:val="0"/>
          <w:numId w:val="5"/>
        </w:numPr>
        <w:spacing w:after="0" w:line="240" w:lineRule="auto"/>
        <w:jc w:val="both"/>
      </w:pPr>
      <w:r w:rsidRPr="002C5EE2">
        <w:t>Always</w:t>
      </w:r>
      <w:r w:rsidR="0067627F">
        <w:t>.</w:t>
      </w:r>
    </w:p>
    <w:p w:rsidR="00E50947" w:rsidRDefault="00E50947" w:rsidP="00E50947">
      <w:pPr>
        <w:pStyle w:val="ListParagraph"/>
        <w:numPr>
          <w:ilvl w:val="0"/>
          <w:numId w:val="5"/>
        </w:numPr>
        <w:spacing w:after="0" w:line="240" w:lineRule="auto"/>
        <w:jc w:val="both"/>
      </w:pPr>
      <w:r>
        <w:t xml:space="preserve">When there is a suspicion that a GBV case has </w:t>
      </w:r>
      <w:r w:rsidR="0067627F">
        <w:t>occurred.</w:t>
      </w:r>
    </w:p>
    <w:p w:rsidR="00E50947" w:rsidRDefault="00E50947" w:rsidP="00E50947">
      <w:pPr>
        <w:pStyle w:val="ListParagraph"/>
        <w:numPr>
          <w:ilvl w:val="0"/>
          <w:numId w:val="5"/>
        </w:numPr>
        <w:spacing w:after="0" w:line="240" w:lineRule="auto"/>
        <w:jc w:val="both"/>
      </w:pPr>
      <w:r w:rsidRPr="002C5EE2">
        <w:t xml:space="preserve">Immediately for </w:t>
      </w:r>
      <w:r w:rsidR="0067627F">
        <w:t xml:space="preserve">survivors </w:t>
      </w:r>
      <w:r w:rsidRPr="002C5EE2">
        <w:t>under 18</w:t>
      </w:r>
      <w:r w:rsidR="0067627F">
        <w:t xml:space="preserve"> years of age; </w:t>
      </w:r>
      <w:r w:rsidRPr="002C5EE2">
        <w:t>when client gives permission</w:t>
      </w:r>
      <w:r w:rsidR="0067627F">
        <w:t xml:space="preserve"> if they are over 18 years of age.</w:t>
      </w:r>
    </w:p>
    <w:p w:rsidR="00E50947" w:rsidRDefault="00E50947" w:rsidP="002C5EE2">
      <w:pPr>
        <w:pStyle w:val="ListParagraph"/>
        <w:numPr>
          <w:ilvl w:val="0"/>
          <w:numId w:val="5"/>
        </w:numPr>
        <w:spacing w:after="0" w:line="240" w:lineRule="auto"/>
        <w:jc w:val="both"/>
      </w:pPr>
      <w:r>
        <w:t>W</w:t>
      </w:r>
      <w:r w:rsidR="002C5EE2" w:rsidRPr="002C5EE2">
        <w:t xml:space="preserve">hen </w:t>
      </w:r>
      <w:r>
        <w:t xml:space="preserve">the survivor gets physically hurt, is in danger, </w:t>
      </w:r>
      <w:r w:rsidR="0067627F">
        <w:t>is being threatened, and / or is in</w:t>
      </w:r>
      <w:r>
        <w:t xml:space="preserve"> contact with the perp</w:t>
      </w:r>
      <w:r w:rsidR="0067627F">
        <w:t>etrator.</w:t>
      </w:r>
    </w:p>
    <w:p w:rsidR="002C5EE2" w:rsidRDefault="00E50947" w:rsidP="002C5EE2">
      <w:pPr>
        <w:pStyle w:val="ListParagraph"/>
        <w:numPr>
          <w:ilvl w:val="0"/>
          <w:numId w:val="5"/>
        </w:numPr>
        <w:spacing w:after="0" w:line="240" w:lineRule="auto"/>
        <w:jc w:val="both"/>
      </w:pPr>
      <w:r>
        <w:t>D</w:t>
      </w:r>
      <w:r w:rsidR="002C5EE2" w:rsidRPr="002C5EE2">
        <w:t>ire</w:t>
      </w:r>
      <w:r>
        <w:t>ctly after a referral to Mater D</w:t>
      </w:r>
      <w:r w:rsidR="002C5EE2" w:rsidRPr="002C5EE2">
        <w:t>ei</w:t>
      </w:r>
      <w:r>
        <w:t xml:space="preserve"> Hospital</w:t>
      </w:r>
      <w:r w:rsidR="00C470A1">
        <w:t xml:space="preserve"> (the national public hospital)</w:t>
      </w:r>
      <w:r w:rsidR="00C470A1">
        <w:rPr>
          <w:rStyle w:val="FootnoteReference"/>
        </w:rPr>
        <w:footnoteReference w:id="8"/>
      </w:r>
      <w:r>
        <w:t xml:space="preserve"> or </w:t>
      </w:r>
      <w:r w:rsidR="00FC1255">
        <w:t>Genitourinary (</w:t>
      </w:r>
      <w:r>
        <w:t>GU</w:t>
      </w:r>
      <w:r w:rsidR="00FC1255">
        <w:t>)</w:t>
      </w:r>
      <w:r>
        <w:t xml:space="preserve"> C</w:t>
      </w:r>
      <w:r w:rsidR="002C5EE2" w:rsidRPr="002C5EE2">
        <w:t>linic</w:t>
      </w:r>
      <w:r w:rsidR="00FC1255">
        <w:rPr>
          <w:rStyle w:val="FootnoteReference"/>
        </w:rPr>
        <w:footnoteReference w:id="9"/>
      </w:r>
      <w:r w:rsidR="002C5EE2" w:rsidRPr="002C5EE2">
        <w:t xml:space="preserve"> has been made</w:t>
      </w:r>
      <w:r w:rsidR="00C470A1">
        <w:t>.</w:t>
      </w:r>
    </w:p>
    <w:p w:rsidR="0057073E" w:rsidRDefault="0057073E" w:rsidP="000936C7">
      <w:pPr>
        <w:spacing w:after="0" w:line="240" w:lineRule="auto"/>
        <w:contextualSpacing/>
        <w:jc w:val="both"/>
      </w:pPr>
    </w:p>
    <w:p w:rsidR="0057073E" w:rsidRDefault="001C175F" w:rsidP="000936C7">
      <w:pPr>
        <w:spacing w:after="0" w:line="240" w:lineRule="auto"/>
        <w:contextualSpacing/>
        <w:jc w:val="both"/>
      </w:pPr>
      <w:proofErr w:type="gramStart"/>
      <w:r w:rsidRPr="001C175F">
        <w:rPr>
          <w:b/>
        </w:rPr>
        <w:t>GBV survivor Follow-up.</w:t>
      </w:r>
      <w:proofErr w:type="gramEnd"/>
      <w:r w:rsidRPr="001C175F">
        <w:rPr>
          <w:b/>
        </w:rPr>
        <w:t xml:space="preserve"> </w:t>
      </w:r>
      <w:r w:rsidR="007B2F23" w:rsidRPr="00FC1255">
        <w:rPr>
          <w:b/>
        </w:rPr>
        <w:t>Almost half of the respondents (4)</w:t>
      </w:r>
      <w:r w:rsidR="00FC1255">
        <w:rPr>
          <w:b/>
        </w:rPr>
        <w:t xml:space="preserve"> indicate that they do not</w:t>
      </w:r>
      <w:r w:rsidR="007B2F23" w:rsidRPr="00FC1255">
        <w:rPr>
          <w:b/>
        </w:rPr>
        <w:t xml:space="preserve"> know if the agency they work with has practices of following-up referred GBV cases</w:t>
      </w:r>
      <w:r w:rsidR="007B2F23">
        <w:t xml:space="preserve"> (case management)</w:t>
      </w:r>
      <w:r w:rsidR="001E7D91">
        <w:t>; while one respondent indicates that there are no such practices</w:t>
      </w:r>
      <w:r w:rsidR="007B2F23">
        <w:t>.</w:t>
      </w:r>
      <w:r w:rsidR="001E7D91">
        <w:t xml:space="preserve"> Once again, the </w:t>
      </w:r>
      <w:r w:rsidR="00FC1255">
        <w:t xml:space="preserve">(only) </w:t>
      </w:r>
      <w:r w:rsidR="001E7D91" w:rsidRPr="00FC1255">
        <w:rPr>
          <w:b/>
        </w:rPr>
        <w:t>two respondents indicating that they have written protocols</w:t>
      </w:r>
      <w:r w:rsidR="00FC1255">
        <w:t xml:space="preserve"> for this are the one from the centre t</w:t>
      </w:r>
      <w:r w:rsidR="001E7D91">
        <w:t xml:space="preserve">eam and the coordinator; while </w:t>
      </w:r>
      <w:r w:rsidR="001E7D91" w:rsidRPr="00FC1255">
        <w:rPr>
          <w:b/>
        </w:rPr>
        <w:t>three respondents</w:t>
      </w:r>
      <w:r w:rsidR="00FC1255">
        <w:t xml:space="preserve"> (including one who replies that</w:t>
      </w:r>
      <w:r w:rsidR="001E7D91">
        <w:t xml:space="preserve"> she does not know) </w:t>
      </w:r>
      <w:r w:rsidR="001E7D91" w:rsidRPr="00FC1255">
        <w:rPr>
          <w:b/>
        </w:rPr>
        <w:t>indicate they have informal mechanisms</w:t>
      </w:r>
      <w:r w:rsidR="001E7D91">
        <w:t xml:space="preserve">. </w:t>
      </w:r>
    </w:p>
    <w:p w:rsidR="001E7D91" w:rsidRDefault="001E7D91" w:rsidP="000936C7">
      <w:pPr>
        <w:spacing w:after="0" w:line="240" w:lineRule="auto"/>
        <w:contextualSpacing/>
        <w:jc w:val="both"/>
      </w:pPr>
    </w:p>
    <w:p w:rsidR="001E7D91" w:rsidRDefault="001E7D91" w:rsidP="000936C7">
      <w:pPr>
        <w:spacing w:after="0" w:line="240" w:lineRule="auto"/>
        <w:contextualSpacing/>
        <w:jc w:val="both"/>
      </w:pPr>
      <w:r>
        <w:t xml:space="preserve">Similarly, when asked if their agency has </w:t>
      </w:r>
      <w:r w:rsidRPr="00FC1255">
        <w:rPr>
          <w:b/>
        </w:rPr>
        <w:t xml:space="preserve">specific procedures to follow up </w:t>
      </w:r>
      <w:r w:rsidRPr="00F053AC">
        <w:t>children</w:t>
      </w:r>
      <w:r>
        <w:t xml:space="preserve"> and you</w:t>
      </w:r>
      <w:r w:rsidR="00FC1255">
        <w:t>th</w:t>
      </w:r>
      <w:r>
        <w:t xml:space="preserve"> </w:t>
      </w:r>
      <w:r w:rsidRPr="00F053AC">
        <w:rPr>
          <w:b/>
        </w:rPr>
        <w:t>survivors of GBV</w:t>
      </w:r>
      <w:r>
        <w:t xml:space="preserve">, the </w:t>
      </w:r>
      <w:r w:rsidRPr="00F053AC">
        <w:rPr>
          <w:b/>
        </w:rPr>
        <w:t>same two respondents answer in the positive, while three answer that no such procedures exist</w:t>
      </w:r>
      <w:r w:rsidR="00FC1255" w:rsidRPr="00F053AC">
        <w:rPr>
          <w:b/>
        </w:rPr>
        <w:t>,</w:t>
      </w:r>
      <w:r w:rsidRPr="00F053AC">
        <w:rPr>
          <w:b/>
        </w:rPr>
        <w:t xml:space="preserve"> and another three indicate that they do not know</w:t>
      </w:r>
      <w:r>
        <w:t>.</w:t>
      </w:r>
    </w:p>
    <w:p w:rsidR="001E7D91" w:rsidRDefault="001E7D91" w:rsidP="000936C7">
      <w:pPr>
        <w:spacing w:after="0" w:line="240" w:lineRule="auto"/>
        <w:contextualSpacing/>
        <w:jc w:val="both"/>
      </w:pPr>
    </w:p>
    <w:p w:rsidR="001E7D91" w:rsidRDefault="0007701C" w:rsidP="000936C7">
      <w:pPr>
        <w:spacing w:after="0" w:line="240" w:lineRule="auto"/>
        <w:contextualSpacing/>
        <w:jc w:val="both"/>
      </w:pPr>
      <w:r>
        <w:t>However, w</w:t>
      </w:r>
      <w:r w:rsidR="000643AA">
        <w:t>hen asked to elaborate,</w:t>
      </w:r>
      <w:r w:rsidR="001E7D91">
        <w:t xml:space="preserve"> the two respondents </w:t>
      </w:r>
      <w:r w:rsidR="000643AA">
        <w:t xml:space="preserve">who indicate that there are </w:t>
      </w:r>
      <w:r>
        <w:t>follow-up procedures, detail identification and referral procedures, rather than follow-up ones, including</w:t>
      </w:r>
      <w:r w:rsidR="000643AA">
        <w:t>:</w:t>
      </w:r>
    </w:p>
    <w:p w:rsidR="0007701C" w:rsidRDefault="0007701C" w:rsidP="000643AA">
      <w:pPr>
        <w:pStyle w:val="ListParagraph"/>
        <w:numPr>
          <w:ilvl w:val="0"/>
          <w:numId w:val="7"/>
        </w:numPr>
        <w:spacing w:after="0" w:line="240" w:lineRule="auto"/>
        <w:jc w:val="both"/>
        <w:rPr>
          <w:rFonts w:eastAsia="Times New Roman" w:cs="Calibri"/>
          <w:color w:val="000000"/>
          <w:lang w:eastAsia="en-GB"/>
        </w:rPr>
      </w:pPr>
      <w:r>
        <w:rPr>
          <w:rFonts w:eastAsia="Times New Roman" w:cs="Calibri"/>
          <w:color w:val="000000"/>
          <w:lang w:eastAsia="en-GB"/>
        </w:rPr>
        <w:t>Interviewing,</w:t>
      </w:r>
      <w:r w:rsidRPr="000643AA">
        <w:rPr>
          <w:rFonts w:eastAsia="Times New Roman" w:cs="Calibri"/>
          <w:color w:val="000000"/>
          <w:lang w:eastAsia="en-GB"/>
        </w:rPr>
        <w:t xml:space="preserve"> assess</w:t>
      </w:r>
      <w:r>
        <w:rPr>
          <w:rFonts w:eastAsia="Times New Roman" w:cs="Calibri"/>
          <w:color w:val="000000"/>
          <w:lang w:eastAsia="en-GB"/>
        </w:rPr>
        <w:t>ing</w:t>
      </w:r>
      <w:r w:rsidR="00471F45">
        <w:rPr>
          <w:rFonts w:eastAsia="Times New Roman" w:cs="Calibri"/>
          <w:color w:val="000000"/>
          <w:lang w:eastAsia="en-GB"/>
        </w:rPr>
        <w:t>,</w:t>
      </w:r>
      <w:r>
        <w:rPr>
          <w:rFonts w:eastAsia="Times New Roman" w:cs="Calibri"/>
          <w:color w:val="000000"/>
          <w:lang w:eastAsia="en-GB"/>
        </w:rPr>
        <w:t xml:space="preserve"> accompanying</w:t>
      </w:r>
      <w:r w:rsidRPr="000643AA">
        <w:rPr>
          <w:rFonts w:eastAsia="Times New Roman" w:cs="Calibri"/>
          <w:color w:val="000000"/>
          <w:lang w:eastAsia="en-GB"/>
        </w:rPr>
        <w:t xml:space="preserve"> </w:t>
      </w:r>
      <w:r w:rsidR="00471F45">
        <w:rPr>
          <w:rFonts w:eastAsia="Times New Roman" w:cs="Calibri"/>
          <w:color w:val="000000"/>
          <w:lang w:eastAsia="en-GB"/>
        </w:rPr>
        <w:t>and providing psychological support for the survivor;</w:t>
      </w:r>
    </w:p>
    <w:p w:rsidR="000643AA" w:rsidRDefault="00471F45" w:rsidP="000643AA">
      <w:pPr>
        <w:pStyle w:val="ListParagraph"/>
        <w:numPr>
          <w:ilvl w:val="0"/>
          <w:numId w:val="7"/>
        </w:numPr>
        <w:spacing w:after="0" w:line="240" w:lineRule="auto"/>
        <w:jc w:val="both"/>
        <w:rPr>
          <w:rFonts w:eastAsia="Times New Roman" w:cs="Calibri"/>
          <w:color w:val="000000"/>
          <w:lang w:eastAsia="en-GB"/>
        </w:rPr>
      </w:pPr>
      <w:r>
        <w:rPr>
          <w:rFonts w:eastAsia="Times New Roman" w:cs="Calibri"/>
          <w:color w:val="000000"/>
          <w:lang w:eastAsia="en-GB"/>
        </w:rPr>
        <w:t>Communicating</w:t>
      </w:r>
      <w:r w:rsidR="0007701C">
        <w:rPr>
          <w:rFonts w:eastAsia="Times New Roman" w:cs="Calibri"/>
          <w:color w:val="000000"/>
          <w:lang w:eastAsia="en-GB"/>
        </w:rPr>
        <w:t xml:space="preserve"> and liais</w:t>
      </w:r>
      <w:r>
        <w:rPr>
          <w:rFonts w:eastAsia="Times New Roman" w:cs="Calibri"/>
          <w:color w:val="000000"/>
          <w:lang w:eastAsia="en-GB"/>
        </w:rPr>
        <w:t>ing</w:t>
      </w:r>
      <w:r w:rsidR="000643AA" w:rsidRPr="000643AA">
        <w:rPr>
          <w:rFonts w:eastAsia="Times New Roman" w:cs="Calibri"/>
          <w:color w:val="000000"/>
          <w:lang w:eastAsia="en-GB"/>
        </w:rPr>
        <w:t xml:space="preserve"> with the professionals involved in the case. </w:t>
      </w:r>
    </w:p>
    <w:p w:rsidR="000643AA" w:rsidRPr="000643AA" w:rsidRDefault="00471F45" w:rsidP="000643AA">
      <w:pPr>
        <w:pStyle w:val="ListParagraph"/>
        <w:numPr>
          <w:ilvl w:val="0"/>
          <w:numId w:val="7"/>
        </w:numPr>
        <w:spacing w:after="0" w:line="240" w:lineRule="auto"/>
        <w:rPr>
          <w:rFonts w:eastAsia="Times New Roman" w:cs="Calibri"/>
          <w:color w:val="000000"/>
          <w:lang w:eastAsia="en-GB"/>
        </w:rPr>
      </w:pPr>
      <w:r>
        <w:rPr>
          <w:rFonts w:eastAsia="Times New Roman" w:cs="Calibri"/>
          <w:color w:val="000000"/>
          <w:lang w:eastAsia="en-GB"/>
        </w:rPr>
        <w:t xml:space="preserve">Referring to </w:t>
      </w:r>
      <w:r w:rsidR="00D13597">
        <w:rPr>
          <w:rFonts w:eastAsia="Times New Roman" w:cs="Calibri"/>
          <w:color w:val="000000"/>
          <w:lang w:eastAsia="en-GB"/>
        </w:rPr>
        <w:t>AWAS</w:t>
      </w:r>
      <w:r>
        <w:rPr>
          <w:rFonts w:eastAsia="Times New Roman" w:cs="Calibri"/>
          <w:color w:val="000000"/>
          <w:lang w:eastAsia="en-GB"/>
        </w:rPr>
        <w:t xml:space="preserve"> s</w:t>
      </w:r>
      <w:r w:rsidR="000643AA" w:rsidRPr="000643AA">
        <w:rPr>
          <w:rFonts w:eastAsia="Times New Roman" w:cs="Calibri"/>
          <w:color w:val="000000"/>
          <w:lang w:eastAsia="en-GB"/>
        </w:rPr>
        <w:t>ocial</w:t>
      </w:r>
      <w:r w:rsidR="000643AA">
        <w:rPr>
          <w:rFonts w:eastAsia="Times New Roman" w:cs="Calibri"/>
          <w:color w:val="000000"/>
          <w:lang w:eastAsia="en-GB"/>
        </w:rPr>
        <w:t xml:space="preserve"> workers</w:t>
      </w:r>
      <w:r w:rsidR="00852BEE">
        <w:rPr>
          <w:rFonts w:eastAsia="Times New Roman" w:cs="Calibri"/>
          <w:color w:val="000000"/>
          <w:lang w:eastAsia="en-GB"/>
        </w:rPr>
        <w:t>,</w:t>
      </w:r>
      <w:r w:rsidR="000643AA">
        <w:rPr>
          <w:rFonts w:eastAsia="Times New Roman" w:cs="Calibri"/>
          <w:color w:val="000000"/>
          <w:lang w:eastAsia="en-GB"/>
        </w:rPr>
        <w:t xml:space="preserve"> </w:t>
      </w:r>
      <w:r w:rsidRPr="000643AA">
        <w:rPr>
          <w:rFonts w:eastAsia="Times New Roman" w:cs="Calibri"/>
          <w:color w:val="000000"/>
          <w:lang w:eastAsia="en-GB"/>
        </w:rPr>
        <w:t>psycho-social support</w:t>
      </w:r>
      <w:r>
        <w:rPr>
          <w:rFonts w:eastAsia="Times New Roman" w:cs="Calibri"/>
          <w:color w:val="000000"/>
          <w:lang w:eastAsia="en-GB"/>
        </w:rPr>
        <w:t xml:space="preserve"> workers </w:t>
      </w:r>
      <w:r w:rsidR="000643AA">
        <w:rPr>
          <w:rFonts w:eastAsia="Times New Roman" w:cs="Calibri"/>
          <w:color w:val="000000"/>
          <w:lang w:eastAsia="en-GB"/>
        </w:rPr>
        <w:t>and therapeutic unit, or</w:t>
      </w:r>
      <w:r>
        <w:rPr>
          <w:rFonts w:eastAsia="Times New Roman" w:cs="Calibri"/>
          <w:color w:val="000000"/>
          <w:lang w:eastAsia="en-GB"/>
        </w:rPr>
        <w:t xml:space="preserve"> to other entities / NGOs</w:t>
      </w:r>
      <w:r w:rsidR="000643AA" w:rsidRPr="000643AA">
        <w:rPr>
          <w:rFonts w:eastAsia="Times New Roman" w:cs="Calibri"/>
          <w:color w:val="000000"/>
          <w:lang w:eastAsia="en-GB"/>
        </w:rPr>
        <w:t xml:space="preserve"> if necessary </w:t>
      </w:r>
      <w:r w:rsidR="004905A3">
        <w:rPr>
          <w:rFonts w:eastAsia="Times New Roman" w:cs="Calibri"/>
          <w:color w:val="000000"/>
          <w:lang w:eastAsia="en-GB"/>
        </w:rPr>
        <w:t>(</w:t>
      </w:r>
      <w:proofErr w:type="gramStart"/>
      <w:r w:rsidR="004905A3">
        <w:rPr>
          <w:rFonts w:eastAsia="Times New Roman" w:cs="Calibri"/>
          <w:color w:val="000000"/>
          <w:lang w:eastAsia="en-GB"/>
        </w:rPr>
        <w:t xml:space="preserve">including  </w:t>
      </w:r>
      <w:r w:rsidR="004905A3">
        <w:rPr>
          <w:i/>
        </w:rPr>
        <w:t>A</w:t>
      </w:r>
      <w:r w:rsidR="004905A3">
        <w:rPr>
          <w:rFonts w:cs="Calibri"/>
          <w:i/>
        </w:rPr>
        <w:t>ġ</w:t>
      </w:r>
      <w:r w:rsidR="004905A3" w:rsidRPr="00D21D92">
        <w:rPr>
          <w:i/>
        </w:rPr>
        <w:t>enzija</w:t>
      </w:r>
      <w:proofErr w:type="gramEnd"/>
      <w:r w:rsidR="004905A3" w:rsidRPr="00D21D92">
        <w:rPr>
          <w:i/>
        </w:rPr>
        <w:t xml:space="preserve"> Appoġġ</w:t>
      </w:r>
      <w:r w:rsidR="004905A3">
        <w:t>, Jesuit Refugee Service (JRS)</w:t>
      </w:r>
      <w:r w:rsidR="004905A3">
        <w:rPr>
          <w:rStyle w:val="FootnoteReference"/>
        </w:rPr>
        <w:footnoteReference w:id="10"/>
      </w:r>
      <w:r w:rsidR="004905A3">
        <w:t>, Migrant Women Association Malta (MWAM)</w:t>
      </w:r>
      <w:r w:rsidR="004905A3">
        <w:rPr>
          <w:rStyle w:val="FootnoteReference"/>
        </w:rPr>
        <w:footnoteReference w:id="11"/>
      </w:r>
      <w:r w:rsidR="004905A3">
        <w:t>, Caritas Malta</w:t>
      </w:r>
      <w:r w:rsidR="004905A3">
        <w:rPr>
          <w:rStyle w:val="FootnoteReference"/>
        </w:rPr>
        <w:footnoteReference w:id="12"/>
      </w:r>
      <w:r w:rsidR="004905A3">
        <w:t xml:space="preserve"> and Rainbow Support</w:t>
      </w:r>
      <w:r w:rsidR="00D13597">
        <w:t xml:space="preserve"> </w:t>
      </w:r>
      <w:r w:rsidR="004905A3">
        <w:t>Service</w:t>
      </w:r>
      <w:r w:rsidR="004905A3">
        <w:rPr>
          <w:rStyle w:val="FootnoteReference"/>
        </w:rPr>
        <w:footnoteReference w:id="13"/>
      </w:r>
      <w:r w:rsidR="004905A3">
        <w:t>)</w:t>
      </w:r>
      <w:r w:rsidR="006C5F96">
        <w:t>.</w:t>
      </w:r>
    </w:p>
    <w:p w:rsidR="000643AA" w:rsidRDefault="000643AA" w:rsidP="000936C7">
      <w:pPr>
        <w:spacing w:after="0" w:line="240" w:lineRule="auto"/>
        <w:contextualSpacing/>
        <w:jc w:val="both"/>
      </w:pPr>
    </w:p>
    <w:p w:rsidR="001E7D91" w:rsidRDefault="000643AA" w:rsidP="000936C7">
      <w:pPr>
        <w:spacing w:after="0" w:line="240" w:lineRule="auto"/>
        <w:contextualSpacing/>
        <w:jc w:val="both"/>
      </w:pPr>
      <w:r>
        <w:t xml:space="preserve">Once again, the </w:t>
      </w:r>
      <w:r w:rsidRPr="006C5F96">
        <w:rPr>
          <w:b/>
        </w:rPr>
        <w:t>same two respondents indicate that their agency has specific tools for GBV case management</w:t>
      </w:r>
      <w:r>
        <w:t xml:space="preserve"> (</w:t>
      </w:r>
      <w:r w:rsidR="006C5F96">
        <w:t>while</w:t>
      </w:r>
      <w:r w:rsidRPr="006C5F96">
        <w:rPr>
          <w:b/>
        </w:rPr>
        <w:t xml:space="preserve"> four</w:t>
      </w:r>
      <w:r w:rsidR="006C5F96">
        <w:rPr>
          <w:b/>
        </w:rPr>
        <w:t xml:space="preserve"> indicate that they do not know, </w:t>
      </w:r>
      <w:r w:rsidR="006C5F96">
        <w:t>and</w:t>
      </w:r>
      <w:r w:rsidR="002A799F">
        <w:rPr>
          <w:b/>
        </w:rPr>
        <w:t xml:space="preserve"> two respondents indicate</w:t>
      </w:r>
      <w:r w:rsidRPr="006C5F96">
        <w:rPr>
          <w:b/>
        </w:rPr>
        <w:t xml:space="preserve"> that they do not have such tools</w:t>
      </w:r>
      <w:r w:rsidR="006C5F96" w:rsidRPr="006C5F96">
        <w:t>)</w:t>
      </w:r>
      <w:r w:rsidRPr="006C5F96">
        <w:t xml:space="preserve">. </w:t>
      </w:r>
      <w:r w:rsidR="002A799F">
        <w:t xml:space="preserve">However, the two positive replies demonstrate a conflation of case management tools employed by the Agency and other procedures / </w:t>
      </w:r>
      <w:r w:rsidR="00A80FDF">
        <w:t xml:space="preserve">by other </w:t>
      </w:r>
      <w:r w:rsidR="002A799F">
        <w:t xml:space="preserve">entities: when asked to specify which tools are used, the replies comprise assessment / referrals / support as well as information sessions held by NGOs in AWAS reception facilitates, and online support. </w:t>
      </w:r>
    </w:p>
    <w:p w:rsidR="006C5F96" w:rsidRPr="007B2F23" w:rsidRDefault="006C5F96" w:rsidP="000936C7">
      <w:pPr>
        <w:spacing w:after="0" w:line="240" w:lineRule="auto"/>
        <w:contextualSpacing/>
        <w:jc w:val="both"/>
      </w:pPr>
    </w:p>
    <w:p w:rsidR="00BF3D7F" w:rsidRDefault="006C6946" w:rsidP="000936C7">
      <w:pPr>
        <w:spacing w:after="0" w:line="240" w:lineRule="auto"/>
        <w:contextualSpacing/>
        <w:jc w:val="both"/>
      </w:pPr>
      <w:r>
        <w:t xml:space="preserve">With regard to </w:t>
      </w:r>
      <w:r w:rsidRPr="00BF3D7F">
        <w:rPr>
          <w:b/>
        </w:rPr>
        <w:t>collaborating with other services to follow-up on the referred GBV cases during the preceding 12 months</w:t>
      </w:r>
      <w:r>
        <w:t>, the</w:t>
      </w:r>
      <w:r w:rsidR="00BF3D7F">
        <w:t xml:space="preserve"> frequency with which such collaborations have occurred are detailed below (the brackets detailing the number of respondents):</w:t>
      </w:r>
    </w:p>
    <w:p w:rsidR="006C6946" w:rsidRDefault="006C6946" w:rsidP="009B5CF5">
      <w:pPr>
        <w:pStyle w:val="ListParagraph"/>
        <w:numPr>
          <w:ilvl w:val="0"/>
          <w:numId w:val="8"/>
        </w:numPr>
        <w:spacing w:after="0" w:line="240" w:lineRule="auto"/>
        <w:ind w:left="714" w:hanging="357"/>
        <w:jc w:val="both"/>
      </w:pPr>
      <w:r>
        <w:t>Psychosocial support</w:t>
      </w:r>
      <w:r w:rsidR="003523BA">
        <w:t xml:space="preserve">: </w:t>
      </w:r>
      <w:r w:rsidR="00BF3D7F">
        <w:t>(almost) always (2);</w:t>
      </w:r>
      <w:r w:rsidR="003523BA">
        <w:t xml:space="preserve"> freque</w:t>
      </w:r>
      <w:r w:rsidR="00ED5A0E">
        <w:t>ntly</w:t>
      </w:r>
      <w:r w:rsidR="00BF3D7F">
        <w:t xml:space="preserve"> (3); do not know (2).</w:t>
      </w:r>
    </w:p>
    <w:p w:rsidR="00BF3D7F" w:rsidRPr="00852BEE" w:rsidRDefault="006C6946" w:rsidP="009B5CF5">
      <w:pPr>
        <w:pStyle w:val="ListParagraph"/>
        <w:numPr>
          <w:ilvl w:val="0"/>
          <w:numId w:val="8"/>
        </w:numPr>
        <w:spacing w:after="0" w:line="240" w:lineRule="auto"/>
        <w:ind w:left="714" w:hanging="357"/>
      </w:pPr>
      <w:r w:rsidRPr="00852BEE">
        <w:t>Health care</w:t>
      </w:r>
      <w:r w:rsidR="00BF3D7F" w:rsidRPr="00852BEE">
        <w:t xml:space="preserve">: (almost) always (1); </w:t>
      </w:r>
      <w:r w:rsidR="00ED5A0E" w:rsidRPr="00852BEE">
        <w:t>frequently</w:t>
      </w:r>
      <w:r w:rsidR="00BF3D7F" w:rsidRPr="00852BEE">
        <w:t xml:space="preserve"> (3); never (1); do not know (2).</w:t>
      </w:r>
    </w:p>
    <w:p w:rsidR="006C6946" w:rsidRPr="00852BEE" w:rsidRDefault="006C6946" w:rsidP="009B5CF5">
      <w:pPr>
        <w:pStyle w:val="ListParagraph"/>
        <w:numPr>
          <w:ilvl w:val="0"/>
          <w:numId w:val="8"/>
        </w:numPr>
        <w:spacing w:after="0" w:line="240" w:lineRule="auto"/>
        <w:ind w:left="714" w:hanging="357"/>
        <w:jc w:val="both"/>
      </w:pPr>
      <w:r w:rsidRPr="00852BEE">
        <w:t>Legal assistance</w:t>
      </w:r>
      <w:r w:rsidR="00ED5A0E" w:rsidRPr="00852BEE">
        <w:t xml:space="preserve">: </w:t>
      </w:r>
      <w:r w:rsidR="008D25B2" w:rsidRPr="00852BEE">
        <w:t xml:space="preserve">(almost) always (1); </w:t>
      </w:r>
      <w:r w:rsidR="00A83CCB" w:rsidRPr="00852BEE">
        <w:t>frequently</w:t>
      </w:r>
      <w:r w:rsidR="008D25B2" w:rsidRPr="00852BEE">
        <w:t xml:space="preserve"> (3); never (1); do not know (2</w:t>
      </w:r>
      <w:r w:rsidR="00A83CCB" w:rsidRPr="00852BEE">
        <w:t xml:space="preserve">). </w:t>
      </w:r>
    </w:p>
    <w:p w:rsidR="006C6946" w:rsidRPr="00852BEE" w:rsidRDefault="006C6946" w:rsidP="009B5CF5">
      <w:pPr>
        <w:pStyle w:val="ListParagraph"/>
        <w:numPr>
          <w:ilvl w:val="0"/>
          <w:numId w:val="8"/>
        </w:numPr>
        <w:spacing w:after="0" w:line="240" w:lineRule="auto"/>
        <w:ind w:left="714" w:hanging="357"/>
        <w:jc w:val="both"/>
      </w:pPr>
      <w:r w:rsidRPr="00852BEE">
        <w:t>Child protection program</w:t>
      </w:r>
      <w:r w:rsidR="00ED5A0E" w:rsidRPr="00852BEE">
        <w:t xml:space="preserve">: </w:t>
      </w:r>
      <w:r w:rsidR="008D25B2" w:rsidRPr="00852BEE">
        <w:t>frequently (2); rarely (1</w:t>
      </w:r>
      <w:r w:rsidR="00A83CCB" w:rsidRPr="00852BEE">
        <w:t>); do not know (3).</w:t>
      </w:r>
    </w:p>
    <w:p w:rsidR="006C6946" w:rsidRPr="00852BEE" w:rsidRDefault="006C6946" w:rsidP="009B5CF5">
      <w:pPr>
        <w:pStyle w:val="ListParagraph"/>
        <w:numPr>
          <w:ilvl w:val="0"/>
          <w:numId w:val="8"/>
        </w:numPr>
        <w:spacing w:after="0" w:line="240" w:lineRule="auto"/>
        <w:ind w:left="714" w:hanging="357"/>
        <w:jc w:val="both"/>
      </w:pPr>
      <w:r w:rsidRPr="00852BEE">
        <w:t xml:space="preserve">Translation </w:t>
      </w:r>
      <w:r w:rsidR="000E4CF9" w:rsidRPr="00852BEE">
        <w:t xml:space="preserve">service: </w:t>
      </w:r>
      <w:r w:rsidR="00A83CCB" w:rsidRPr="00852BEE">
        <w:t>(almost) always (3); frequently (2); do not know (3).</w:t>
      </w:r>
    </w:p>
    <w:p w:rsidR="006C6946" w:rsidRPr="00852BEE" w:rsidRDefault="006C6946" w:rsidP="009B5CF5">
      <w:pPr>
        <w:pStyle w:val="ListParagraph"/>
        <w:numPr>
          <w:ilvl w:val="0"/>
          <w:numId w:val="8"/>
        </w:numPr>
        <w:spacing w:after="0" w:line="240" w:lineRule="auto"/>
        <w:ind w:left="714" w:hanging="357"/>
        <w:jc w:val="both"/>
      </w:pPr>
      <w:r w:rsidRPr="00852BEE">
        <w:t>Other types of services</w:t>
      </w:r>
      <w:r w:rsidR="000E4CF9" w:rsidRPr="00852BEE">
        <w:t xml:space="preserve">: </w:t>
      </w:r>
      <w:r w:rsidR="00A83CCB" w:rsidRPr="00852BEE">
        <w:t xml:space="preserve">do not know (3). </w:t>
      </w:r>
    </w:p>
    <w:p w:rsidR="0057073E" w:rsidRPr="00CD35E9" w:rsidRDefault="0057073E" w:rsidP="000936C7">
      <w:pPr>
        <w:spacing w:after="0" w:line="240" w:lineRule="auto"/>
        <w:contextualSpacing/>
        <w:jc w:val="both"/>
      </w:pPr>
    </w:p>
    <w:p w:rsidR="006A64AF" w:rsidRDefault="00C71F63" w:rsidP="006A64AF">
      <w:pPr>
        <w:spacing w:after="0" w:line="240" w:lineRule="auto"/>
        <w:contextualSpacing/>
        <w:jc w:val="both"/>
      </w:pPr>
      <w:proofErr w:type="gramStart"/>
      <w:r w:rsidRPr="00471E17">
        <w:rPr>
          <w:b/>
        </w:rPr>
        <w:t>Guiding P</w:t>
      </w:r>
      <w:r w:rsidR="00C248D3" w:rsidRPr="00471E17">
        <w:rPr>
          <w:b/>
        </w:rPr>
        <w:t>rinciples of</w:t>
      </w:r>
      <w:r w:rsidRPr="00471E17">
        <w:rPr>
          <w:b/>
        </w:rPr>
        <w:t xml:space="preserve"> C</w:t>
      </w:r>
      <w:r w:rsidR="00C248D3" w:rsidRPr="00471E17">
        <w:rPr>
          <w:b/>
        </w:rPr>
        <w:t xml:space="preserve">aring for </w:t>
      </w:r>
      <w:r w:rsidR="006A64AF">
        <w:rPr>
          <w:b/>
        </w:rPr>
        <w:t xml:space="preserve">Child </w:t>
      </w:r>
      <w:r w:rsidR="00C248D3" w:rsidRPr="00471E17">
        <w:rPr>
          <w:b/>
        </w:rPr>
        <w:t>GBV Survivors</w:t>
      </w:r>
      <w:r w:rsidRPr="00CD35E9">
        <w:t>.</w:t>
      </w:r>
      <w:proofErr w:type="gramEnd"/>
      <w:r w:rsidR="00C248D3" w:rsidRPr="00CD35E9">
        <w:t xml:space="preserve"> </w:t>
      </w:r>
      <w:r w:rsidR="006A64AF">
        <w:t>As can be seen in Figure 5</w:t>
      </w:r>
      <w:r w:rsidR="009631F7">
        <w:t>:</w:t>
      </w:r>
    </w:p>
    <w:p w:rsidR="00F23A39" w:rsidRPr="00BC4010" w:rsidRDefault="009631F7" w:rsidP="009631F7">
      <w:pPr>
        <w:pStyle w:val="ListParagraph"/>
        <w:numPr>
          <w:ilvl w:val="0"/>
          <w:numId w:val="10"/>
        </w:numPr>
        <w:spacing w:after="0" w:line="240" w:lineRule="auto"/>
        <w:jc w:val="both"/>
      </w:pPr>
      <w:r w:rsidRPr="00BC4010">
        <w:t xml:space="preserve">All respondents indicate that they are ‘very’ knowledgeable regarding the principles of </w:t>
      </w:r>
      <w:r w:rsidR="00F23A39" w:rsidRPr="00BC4010">
        <w:t>ensuring the appropriate confidentiality and treating every child fairly and equally.</w:t>
      </w:r>
    </w:p>
    <w:p w:rsidR="0095190F" w:rsidRDefault="0095190F" w:rsidP="00BC4010">
      <w:pPr>
        <w:pStyle w:val="ListParagraph"/>
        <w:numPr>
          <w:ilvl w:val="0"/>
          <w:numId w:val="10"/>
        </w:numPr>
        <w:spacing w:after="0" w:line="240" w:lineRule="auto"/>
        <w:jc w:val="both"/>
      </w:pPr>
      <w:r>
        <w:t>All respondents indicate that they are ‘very’ (5) to ‘somewhat’ (4) knowledgeable in involving the child in decision-making.</w:t>
      </w:r>
    </w:p>
    <w:p w:rsidR="00BC4010" w:rsidRPr="00BC4010" w:rsidRDefault="00BC4010" w:rsidP="00BC4010">
      <w:pPr>
        <w:pStyle w:val="ListParagraph"/>
        <w:numPr>
          <w:ilvl w:val="0"/>
          <w:numId w:val="10"/>
        </w:numPr>
        <w:spacing w:after="0" w:line="240" w:lineRule="auto"/>
        <w:jc w:val="both"/>
      </w:pPr>
      <w:r w:rsidRPr="00BC4010">
        <w:t>The large majority (8) feel that they are ‘very’ knowledgeable regarding the principles of: working according to the best interest of the child; ensuring the safety of the child, and their right to life, survival and development; and of strengthening the child’s resilience, with only one respondent indicating ‘not really’.</w:t>
      </w:r>
    </w:p>
    <w:p w:rsidR="00F23A39" w:rsidRDefault="0095190F" w:rsidP="009631F7">
      <w:pPr>
        <w:pStyle w:val="ListParagraph"/>
        <w:numPr>
          <w:ilvl w:val="0"/>
          <w:numId w:val="10"/>
        </w:numPr>
        <w:spacing w:after="0" w:line="240" w:lineRule="auto"/>
        <w:jc w:val="both"/>
      </w:pPr>
      <w:r>
        <w:t>The large majority (8) feel that they are ‘very’ (6) to ‘somewhat’ (2) knowledgeable with regard to comforting the child, with only one respondent replying ‘not really’.</w:t>
      </w:r>
    </w:p>
    <w:p w:rsidR="00BC4010" w:rsidRDefault="00BC4010" w:rsidP="00BC4010">
      <w:pPr>
        <w:pStyle w:val="ListParagraph"/>
        <w:spacing w:after="0" w:line="240" w:lineRule="auto"/>
        <w:jc w:val="both"/>
      </w:pPr>
    </w:p>
    <w:p w:rsidR="009631F7" w:rsidRPr="009631F7" w:rsidRDefault="009631F7" w:rsidP="009631F7">
      <w:pPr>
        <w:spacing w:after="0" w:line="240" w:lineRule="auto"/>
        <w:jc w:val="center"/>
        <w:rPr>
          <w:b/>
        </w:rPr>
      </w:pPr>
      <w:r>
        <w:rPr>
          <w:b/>
        </w:rPr>
        <w:t>Figure 5</w:t>
      </w:r>
      <w:r w:rsidRPr="009631F7">
        <w:rPr>
          <w:b/>
        </w:rPr>
        <w:t xml:space="preserve"> – </w:t>
      </w:r>
      <w:r w:rsidR="0083178E">
        <w:rPr>
          <w:b/>
        </w:rPr>
        <w:t>Guiding Principles of Caring for GBV Survivors: Respondents’ Level of Knowledgeability</w:t>
      </w:r>
    </w:p>
    <w:p w:rsidR="009631F7" w:rsidRPr="00CD35E9" w:rsidRDefault="009631F7" w:rsidP="0083178E">
      <w:pPr>
        <w:spacing w:after="0" w:line="240" w:lineRule="auto"/>
        <w:jc w:val="center"/>
      </w:pPr>
      <w:r>
        <w:rPr>
          <w:noProof/>
          <w:lang w:val="en-US"/>
        </w:rPr>
        <w:drawing>
          <wp:inline distT="0" distB="0" distL="0" distR="0">
            <wp:extent cx="5486400" cy="3200400"/>
            <wp:effectExtent l="0" t="0" r="19050"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25811" w:rsidRDefault="00A25811" w:rsidP="000936C7">
      <w:pPr>
        <w:spacing w:after="0" w:line="240" w:lineRule="auto"/>
        <w:contextualSpacing/>
        <w:jc w:val="both"/>
      </w:pPr>
    </w:p>
    <w:p w:rsidR="00C110D2" w:rsidRDefault="00C110D2" w:rsidP="00C110D2">
      <w:pPr>
        <w:spacing w:after="0" w:line="240" w:lineRule="auto"/>
        <w:jc w:val="both"/>
      </w:pPr>
      <w:r>
        <w:t xml:space="preserve">These results also demonstrate an overall improvement in the knowledge of care professionals with regard to the principles of caring for child GBV survivors. In this data collection round, for example – unlike in the first one – </w:t>
      </w:r>
      <w:r>
        <w:rPr>
          <w:i/>
        </w:rPr>
        <w:t xml:space="preserve">all </w:t>
      </w:r>
      <w:r>
        <w:t>respondents indicate they are very knowledgeable on two of the principles</w:t>
      </w:r>
      <w:r w:rsidR="00021675">
        <w:t>; while the majority of respond</w:t>
      </w:r>
      <w:r w:rsidR="00145628">
        <w:t>ents feel very knowledgeable on</w:t>
      </w:r>
      <w:r w:rsidR="00021675">
        <w:t xml:space="preserve"> all of the other principles. </w:t>
      </w:r>
    </w:p>
    <w:p w:rsidR="00BB54FF" w:rsidRDefault="00BB54FF" w:rsidP="00C110D2">
      <w:pPr>
        <w:spacing w:after="0" w:line="240" w:lineRule="auto"/>
        <w:jc w:val="both"/>
      </w:pPr>
    </w:p>
    <w:p w:rsidR="00C110D2" w:rsidRDefault="00C110D2" w:rsidP="000936C7">
      <w:pPr>
        <w:spacing w:after="0" w:line="240" w:lineRule="auto"/>
        <w:contextualSpacing/>
        <w:jc w:val="both"/>
      </w:pPr>
    </w:p>
    <w:p w:rsidR="00BB54FF" w:rsidRDefault="00902087" w:rsidP="00BB54FF">
      <w:pPr>
        <w:pStyle w:val="Heading1"/>
        <w:numPr>
          <w:ilvl w:val="0"/>
          <w:numId w:val="1"/>
        </w:numPr>
        <w:spacing w:before="0" w:line="240" w:lineRule="auto"/>
        <w:contextualSpacing/>
        <w:jc w:val="both"/>
      </w:pPr>
      <w:r>
        <w:t xml:space="preserve">Conclusions and Recommendations </w:t>
      </w:r>
    </w:p>
    <w:p w:rsidR="00BB54FF" w:rsidRPr="00BB54FF" w:rsidRDefault="00BB54FF" w:rsidP="00BB54FF">
      <w:pPr>
        <w:spacing w:after="0"/>
      </w:pPr>
    </w:p>
    <w:p w:rsidR="00145628" w:rsidRDefault="00BB54FF" w:rsidP="00145628">
      <w:pPr>
        <w:spacing w:after="0" w:line="240" w:lineRule="auto"/>
        <w:contextualSpacing/>
        <w:jc w:val="both"/>
      </w:pPr>
      <w:r>
        <w:lastRenderedPageBreak/>
        <w:t>The findings of this</w:t>
      </w:r>
      <w:r w:rsidR="00145628">
        <w:t xml:space="preserve"> second round of data collection demonstrate an improvement in some areas related to GBV case management, including care professionals’ knowledge of GBV as well as their feelings o</w:t>
      </w:r>
      <w:r>
        <w:t>f comfort with a child disclosure</w:t>
      </w:r>
      <w:r w:rsidR="00145628">
        <w:t>.</w:t>
      </w:r>
    </w:p>
    <w:p w:rsidR="00BB54FF" w:rsidRDefault="00BB54FF" w:rsidP="00145628">
      <w:pPr>
        <w:spacing w:after="0" w:line="240" w:lineRule="auto"/>
        <w:contextualSpacing/>
        <w:jc w:val="both"/>
      </w:pPr>
    </w:p>
    <w:p w:rsidR="003B231B" w:rsidRDefault="00145628" w:rsidP="00145628">
      <w:pPr>
        <w:spacing w:after="0" w:line="240" w:lineRule="auto"/>
        <w:contextualSpacing/>
        <w:jc w:val="both"/>
      </w:pPr>
      <w:r>
        <w:t>Meanwhile, the findings show that the majority of care professionals responding to this survey are still unaware of the existence of (formal) procedures, protocols and tools regarding identification, referral and follow-up of GBV cases of children and youth. If these procedures exist – as testified by respondents from the core tea</w:t>
      </w:r>
      <w:r w:rsidR="00BB54FF">
        <w:t xml:space="preserve">m – the results indicate that </w:t>
      </w:r>
      <w:r>
        <w:t xml:space="preserve">there needs to be greater awareness of such processes, especially among the more ‘peripheral’ workers who work directly with survivors, including care professionals from the therapeutic unit and social workers. Findings also show that identification, referral and follow-up procedures are sometimes conflated, indicating the need for such procedures to be made clearer </w:t>
      </w:r>
      <w:r w:rsidR="00BB54FF">
        <w:t xml:space="preserve">(as one respondent herself mentions), possibly through training sessions and / or </w:t>
      </w:r>
      <w:r>
        <w:t>onli</w:t>
      </w:r>
      <w:r w:rsidR="003B231B">
        <w:t>ne information.</w:t>
      </w:r>
    </w:p>
    <w:p w:rsidR="003B231B" w:rsidRDefault="003B231B" w:rsidP="00145628">
      <w:pPr>
        <w:spacing w:after="0" w:line="240" w:lineRule="auto"/>
        <w:contextualSpacing/>
        <w:jc w:val="both"/>
      </w:pPr>
    </w:p>
    <w:p w:rsidR="003B231B" w:rsidRDefault="003B231B" w:rsidP="00145628">
      <w:pPr>
        <w:spacing w:after="0" w:line="240" w:lineRule="auto"/>
        <w:contextualSpacing/>
        <w:jc w:val="both"/>
      </w:pPr>
    </w:p>
    <w:p w:rsidR="003B231B" w:rsidRPr="003B231B" w:rsidRDefault="003B231B" w:rsidP="00145628">
      <w:pPr>
        <w:spacing w:after="0" w:line="240" w:lineRule="auto"/>
        <w:contextualSpacing/>
        <w:jc w:val="both"/>
        <w:rPr>
          <w:b/>
        </w:rPr>
      </w:pPr>
    </w:p>
    <w:p w:rsidR="003B231B" w:rsidRPr="003B231B" w:rsidRDefault="00145628" w:rsidP="003B231B">
      <w:pPr>
        <w:spacing w:after="0" w:line="240" w:lineRule="auto"/>
        <w:contextualSpacing/>
        <w:jc w:val="both"/>
        <w:rPr>
          <w:b/>
        </w:rPr>
      </w:pPr>
      <w:r w:rsidRPr="003B231B">
        <w:rPr>
          <w:b/>
        </w:rPr>
        <w:t xml:space="preserve"> </w:t>
      </w:r>
      <w:r w:rsidR="003B231B" w:rsidRPr="003B231B">
        <w:rPr>
          <w:b/>
        </w:rPr>
        <w:t>Disclaimer:</w:t>
      </w:r>
    </w:p>
    <w:p w:rsidR="0057073E" w:rsidRPr="003B231B" w:rsidRDefault="003B231B" w:rsidP="003B231B">
      <w:pPr>
        <w:spacing w:after="0" w:line="240" w:lineRule="auto"/>
        <w:contextualSpacing/>
        <w:jc w:val="both"/>
        <w:rPr>
          <w:b/>
        </w:rPr>
      </w:pPr>
      <w:r w:rsidRPr="003B231B">
        <w:rPr>
          <w:b/>
        </w:rPr>
        <w:t>The content of this publication represents the views of the author only and is his/her sole responsibility. The European Commission does not accept any responsibility for use that may be made of the information it contains.</w:t>
      </w:r>
    </w:p>
    <w:p w:rsidR="003B231B" w:rsidRPr="00902087" w:rsidRDefault="003B231B">
      <w:pPr>
        <w:spacing w:after="0" w:line="240" w:lineRule="auto"/>
        <w:contextualSpacing/>
        <w:jc w:val="both"/>
      </w:pPr>
    </w:p>
    <w:sectPr w:rsidR="003B231B" w:rsidRPr="00902087">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127" w:rsidRDefault="00C52127" w:rsidP="00586880">
      <w:pPr>
        <w:spacing w:after="0" w:line="240" w:lineRule="auto"/>
      </w:pPr>
      <w:r>
        <w:separator/>
      </w:r>
    </w:p>
  </w:endnote>
  <w:endnote w:type="continuationSeparator" w:id="0">
    <w:p w:rsidR="00C52127" w:rsidRDefault="00C52127" w:rsidP="00586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4867582"/>
      <w:docPartObj>
        <w:docPartGallery w:val="Page Numbers (Bottom of Page)"/>
        <w:docPartUnique/>
      </w:docPartObj>
    </w:sdtPr>
    <w:sdtEndPr>
      <w:rPr>
        <w:noProof/>
        <w:sz w:val="18"/>
        <w:szCs w:val="18"/>
      </w:rPr>
    </w:sdtEndPr>
    <w:sdtContent>
      <w:p w:rsidR="000F65A5" w:rsidRPr="00586880" w:rsidRDefault="000F65A5">
        <w:pPr>
          <w:pStyle w:val="Footer"/>
          <w:jc w:val="right"/>
          <w:rPr>
            <w:sz w:val="18"/>
            <w:szCs w:val="18"/>
          </w:rPr>
        </w:pPr>
        <w:r w:rsidRPr="00586880">
          <w:rPr>
            <w:sz w:val="18"/>
            <w:szCs w:val="18"/>
          </w:rPr>
          <w:fldChar w:fldCharType="begin"/>
        </w:r>
        <w:r w:rsidRPr="00586880">
          <w:rPr>
            <w:sz w:val="18"/>
            <w:szCs w:val="18"/>
          </w:rPr>
          <w:instrText xml:space="preserve"> PAGE   \* MERGEFORMAT </w:instrText>
        </w:r>
        <w:r w:rsidRPr="00586880">
          <w:rPr>
            <w:sz w:val="18"/>
            <w:szCs w:val="18"/>
          </w:rPr>
          <w:fldChar w:fldCharType="separate"/>
        </w:r>
        <w:r w:rsidR="00D81F58">
          <w:rPr>
            <w:noProof/>
            <w:sz w:val="18"/>
            <w:szCs w:val="18"/>
          </w:rPr>
          <w:t>1</w:t>
        </w:r>
        <w:r w:rsidRPr="00586880">
          <w:rPr>
            <w:noProof/>
            <w:sz w:val="18"/>
            <w:szCs w:val="18"/>
          </w:rPr>
          <w:fldChar w:fldCharType="end"/>
        </w:r>
      </w:p>
    </w:sdtContent>
  </w:sdt>
  <w:p w:rsidR="003A1A53" w:rsidRPr="003A1A53" w:rsidRDefault="003A1A53" w:rsidP="003A1A53">
    <w:pPr>
      <w:spacing w:after="0" w:line="240" w:lineRule="auto"/>
      <w:jc w:val="center"/>
      <w:rPr>
        <w:rFonts w:eastAsia="Calibri" w:cs="Calibri"/>
        <w:i/>
        <w:iCs/>
        <w:color w:val="000000" w:themeColor="dark1"/>
        <w:sz w:val="20"/>
        <w:szCs w:val="20"/>
      </w:rPr>
    </w:pPr>
    <w:r>
      <w:rPr>
        <w:rFonts w:eastAsia="Calibri" w:cs="Calibri"/>
        <w:i/>
        <w:iCs/>
        <w:color w:val="000000" w:themeColor="dark1"/>
        <w:sz w:val="20"/>
        <w:szCs w:val="20"/>
        <w:lang w:val="mt-MT"/>
      </w:rPr>
      <w:t>This data collection</w:t>
    </w:r>
    <w:r>
      <w:rPr>
        <w:rFonts w:eastAsia="Calibri" w:cs="Calibri"/>
        <w:i/>
        <w:iCs/>
        <w:color w:val="000000" w:themeColor="dark1"/>
        <w:sz w:val="20"/>
        <w:szCs w:val="20"/>
        <w:lang w:val="en-US"/>
      </w:rPr>
      <w:t xml:space="preserve"> was</w:t>
    </w:r>
    <w:r w:rsidRPr="003A1A53">
      <w:rPr>
        <w:rFonts w:eastAsia="Calibri" w:cs="Calibri"/>
        <w:i/>
        <w:iCs/>
        <w:color w:val="000000" w:themeColor="dark1"/>
        <w:sz w:val="20"/>
        <w:szCs w:val="20"/>
        <w:lang w:val="en-US"/>
      </w:rPr>
      <w:t xml:space="preserve"> </w:t>
    </w:r>
    <w:r w:rsidRPr="003A1A53">
      <w:rPr>
        <w:rFonts w:eastAsia="Calibri" w:cs="Calibri"/>
        <w:i/>
        <w:iCs/>
        <w:color w:val="000000" w:themeColor="dark1"/>
        <w:sz w:val="20"/>
        <w:szCs w:val="20"/>
        <w:lang w:val="mt-MT"/>
      </w:rPr>
      <w:t>co-financed</w:t>
    </w:r>
    <w:r w:rsidRPr="003A1A53">
      <w:rPr>
        <w:rFonts w:eastAsia="Calibri" w:cs="Calibri"/>
        <w:i/>
        <w:iCs/>
        <w:color w:val="000000" w:themeColor="dark1"/>
        <w:sz w:val="20"/>
        <w:szCs w:val="20"/>
        <w:lang w:val="en-US"/>
      </w:rPr>
      <w:t xml:space="preserve"> by the European Union’s Rights, Equality and Citizenship </w:t>
    </w:r>
    <w:proofErr w:type="spellStart"/>
    <w:r w:rsidRPr="003A1A53">
      <w:rPr>
        <w:rFonts w:eastAsia="Calibri" w:cs="Calibri"/>
        <w:i/>
        <w:iCs/>
        <w:color w:val="000000" w:themeColor="dark1"/>
        <w:sz w:val="20"/>
        <w:szCs w:val="20"/>
        <w:lang w:val="en-US"/>
      </w:rPr>
      <w:t>Programme</w:t>
    </w:r>
    <w:proofErr w:type="spellEnd"/>
    <w:r w:rsidRPr="003A1A53">
      <w:rPr>
        <w:rFonts w:eastAsia="Calibri" w:cs="Calibri"/>
        <w:i/>
        <w:iCs/>
        <w:color w:val="000000" w:themeColor="dark1"/>
        <w:sz w:val="20"/>
        <w:szCs w:val="20"/>
        <w:lang w:val="en-US"/>
      </w:rPr>
      <w:t xml:space="preserve"> (2014-2020)</w:t>
    </w:r>
    <w:r w:rsidRPr="003A1A53">
      <w:rPr>
        <w:rFonts w:eastAsia="Calibri" w:cs="Calibri"/>
        <w:i/>
        <w:iCs/>
        <w:color w:val="000000" w:themeColor="dark1"/>
        <w:sz w:val="20"/>
        <w:szCs w:val="20"/>
        <w:lang w:val="mt-MT"/>
      </w:rPr>
      <w:t xml:space="preserve"> and the Ministry for Education and Employment</w:t>
    </w:r>
    <w:r w:rsidRPr="003A1A53">
      <w:rPr>
        <w:rFonts w:eastAsia="Calibri" w:cs="Calibri"/>
        <w:i/>
        <w:iCs/>
        <w:color w:val="000000" w:themeColor="dark1"/>
        <w:sz w:val="20"/>
        <w:szCs w:val="20"/>
      </w:rPr>
      <w:t>, through the Parliamentary Secretary for Youth, Sport and Voluntary Organisations' Co-Financing Fund</w:t>
    </w:r>
  </w:p>
  <w:p w:rsidR="003A1A53" w:rsidRPr="003A1A53" w:rsidRDefault="003A1A53" w:rsidP="003A1A53">
    <w:pPr>
      <w:spacing w:after="0" w:line="240" w:lineRule="auto"/>
      <w:jc w:val="center"/>
      <w:rPr>
        <w:rFonts w:ascii="Times New Roman" w:eastAsia="Times New Roman" w:hAnsi="Times New Roman"/>
        <w:sz w:val="24"/>
        <w:szCs w:val="24"/>
        <w:lang w:val="en-US"/>
      </w:rPr>
    </w:pPr>
    <w:r w:rsidRPr="003A1A53">
      <w:rPr>
        <w:rFonts w:ascii="Times New Roman" w:eastAsia="Times New Roman" w:hAnsi="Times New Roman"/>
        <w:noProof/>
        <w:sz w:val="24"/>
        <w:szCs w:val="24"/>
        <w:lang w:val="en-US"/>
      </w:rPr>
      <w:drawing>
        <wp:inline distT="0" distB="0" distL="0" distR="0" wp14:anchorId="2BE891A6" wp14:editId="14284820">
          <wp:extent cx="481330" cy="31686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330" cy="316865"/>
                  </a:xfrm>
                  <a:prstGeom prst="rect">
                    <a:avLst/>
                  </a:prstGeom>
                  <a:noFill/>
                </pic:spPr>
              </pic:pic>
            </a:graphicData>
          </a:graphic>
        </wp:inline>
      </w:drawing>
    </w:r>
    <w:r w:rsidRPr="003A1A53">
      <w:rPr>
        <w:rFonts w:ascii="Times New Roman" w:eastAsia="Times New Roman" w:hAnsi="Times New Roman"/>
        <w:sz w:val="24"/>
        <w:szCs w:val="24"/>
        <w:lang w:val="en-US"/>
      </w:rPr>
      <w:t xml:space="preserve">          </w:t>
    </w:r>
    <w:r w:rsidRPr="003A1A53">
      <w:rPr>
        <w:rFonts w:ascii="Times New Roman" w:eastAsia="Times New Roman" w:hAnsi="Times New Roman"/>
        <w:noProof/>
        <w:sz w:val="24"/>
        <w:szCs w:val="24"/>
        <w:lang w:val="en-US"/>
      </w:rPr>
      <w:drawing>
        <wp:inline distT="0" distB="0" distL="0" distR="0" wp14:anchorId="6863BDA7" wp14:editId="556F9B30">
          <wp:extent cx="1749425" cy="457200"/>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49425" cy="457200"/>
                  </a:xfrm>
                  <a:prstGeom prst="rect">
                    <a:avLst/>
                  </a:prstGeom>
                  <a:noFill/>
                </pic:spPr>
              </pic:pic>
            </a:graphicData>
          </a:graphic>
        </wp:inline>
      </w:drawing>
    </w:r>
    <w:r w:rsidRPr="003A1A53">
      <w:rPr>
        <w:rFonts w:ascii="Times New Roman" w:eastAsia="Times New Roman" w:hAnsi="Times New Roman"/>
        <w:sz w:val="24"/>
        <w:szCs w:val="24"/>
        <w:lang w:val="en-US"/>
      </w:rPr>
      <w:t xml:space="preserve">          </w:t>
    </w:r>
    <w:r w:rsidRPr="003A1A53">
      <w:rPr>
        <w:rFonts w:ascii="Times New Roman" w:eastAsia="Times New Roman" w:hAnsi="Times New Roman"/>
        <w:noProof/>
        <w:sz w:val="24"/>
        <w:szCs w:val="24"/>
        <w:lang w:val="en-US"/>
      </w:rPr>
      <w:drawing>
        <wp:inline distT="0" distB="0" distL="0" distR="0" wp14:anchorId="35A17361" wp14:editId="0DD41C25">
          <wp:extent cx="1390015" cy="46355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90015" cy="463550"/>
                  </a:xfrm>
                  <a:prstGeom prst="rect">
                    <a:avLst/>
                  </a:prstGeom>
                  <a:noFill/>
                </pic:spPr>
              </pic:pic>
            </a:graphicData>
          </a:graphic>
        </wp:inline>
      </w:drawing>
    </w:r>
  </w:p>
  <w:p w:rsidR="000F65A5" w:rsidRDefault="000F65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127" w:rsidRDefault="00C52127" w:rsidP="00586880">
      <w:pPr>
        <w:spacing w:after="0" w:line="240" w:lineRule="auto"/>
      </w:pPr>
      <w:r>
        <w:separator/>
      </w:r>
    </w:p>
  </w:footnote>
  <w:footnote w:type="continuationSeparator" w:id="0">
    <w:p w:rsidR="00C52127" w:rsidRDefault="00C52127" w:rsidP="00586880">
      <w:pPr>
        <w:spacing w:after="0" w:line="240" w:lineRule="auto"/>
      </w:pPr>
      <w:r>
        <w:continuationSeparator/>
      </w:r>
    </w:p>
  </w:footnote>
  <w:footnote w:id="1">
    <w:p w:rsidR="000F65A5" w:rsidRPr="00807021" w:rsidRDefault="000F65A5" w:rsidP="00807021">
      <w:pPr>
        <w:pStyle w:val="FootnoteText"/>
        <w:jc w:val="both"/>
        <w:rPr>
          <w:sz w:val="18"/>
          <w:szCs w:val="18"/>
        </w:rPr>
      </w:pPr>
      <w:r w:rsidRPr="00807021">
        <w:rPr>
          <w:rStyle w:val="FootnoteReference"/>
          <w:sz w:val="18"/>
          <w:szCs w:val="18"/>
        </w:rPr>
        <w:footnoteRef/>
      </w:r>
      <w:r w:rsidRPr="00807021">
        <w:rPr>
          <w:sz w:val="18"/>
          <w:szCs w:val="18"/>
        </w:rPr>
        <w:t xml:space="preserve"> The data collection started in February, and was then suspended due to COVID-19. The survey was reopened in May 2020. </w:t>
      </w:r>
    </w:p>
  </w:footnote>
  <w:footnote w:id="2">
    <w:p w:rsidR="000F65A5" w:rsidRPr="001D62CE" w:rsidRDefault="000F65A5">
      <w:pPr>
        <w:pStyle w:val="FootnoteText"/>
        <w:rPr>
          <w:sz w:val="18"/>
          <w:szCs w:val="18"/>
        </w:rPr>
      </w:pPr>
      <w:r w:rsidRPr="001D62CE">
        <w:rPr>
          <w:rStyle w:val="FootnoteReference"/>
          <w:sz w:val="18"/>
          <w:szCs w:val="18"/>
        </w:rPr>
        <w:footnoteRef/>
      </w:r>
      <w:r w:rsidRPr="001D62CE">
        <w:rPr>
          <w:sz w:val="18"/>
          <w:szCs w:val="18"/>
        </w:rPr>
        <w:t xml:space="preserve"> https://homeaffairs.gov.mt/en/MHAS-Departments/awas/Pages/AWAS.aspx</w:t>
      </w:r>
    </w:p>
  </w:footnote>
  <w:footnote w:id="3">
    <w:p w:rsidR="000F65A5" w:rsidRPr="00C87B02" w:rsidRDefault="000F65A5">
      <w:pPr>
        <w:pStyle w:val="FootnoteText"/>
        <w:rPr>
          <w:sz w:val="18"/>
          <w:szCs w:val="18"/>
        </w:rPr>
      </w:pPr>
      <w:r w:rsidRPr="00C87B02">
        <w:rPr>
          <w:rStyle w:val="FootnoteReference"/>
          <w:sz w:val="18"/>
          <w:szCs w:val="18"/>
        </w:rPr>
        <w:footnoteRef/>
      </w:r>
      <w:r w:rsidRPr="00C87B02">
        <w:rPr>
          <w:sz w:val="18"/>
          <w:szCs w:val="18"/>
        </w:rPr>
        <w:t xml:space="preserve"> Only one of the respondents did not participate in the Bridge GBV training.</w:t>
      </w:r>
    </w:p>
  </w:footnote>
  <w:footnote w:id="4">
    <w:p w:rsidR="000F65A5" w:rsidRPr="00554FD9" w:rsidRDefault="000F65A5">
      <w:pPr>
        <w:pStyle w:val="FootnoteText"/>
        <w:rPr>
          <w:sz w:val="18"/>
          <w:szCs w:val="18"/>
          <w:lang w:val="fr-FR"/>
        </w:rPr>
      </w:pPr>
      <w:r w:rsidRPr="00554FD9">
        <w:rPr>
          <w:rStyle w:val="FootnoteReference"/>
          <w:sz w:val="18"/>
          <w:szCs w:val="18"/>
        </w:rPr>
        <w:footnoteRef/>
      </w:r>
      <w:r w:rsidRPr="00554FD9">
        <w:rPr>
          <w:sz w:val="18"/>
          <w:szCs w:val="18"/>
        </w:rPr>
        <w:t xml:space="preserve"> </w:t>
      </w:r>
      <w:proofErr w:type="gramStart"/>
      <w:r w:rsidRPr="00554FD9">
        <w:rPr>
          <w:sz w:val="18"/>
          <w:szCs w:val="18"/>
        </w:rPr>
        <w:t>Kopin.</w:t>
      </w:r>
      <w:proofErr w:type="gramEnd"/>
      <w:r w:rsidRPr="00554FD9">
        <w:rPr>
          <w:sz w:val="18"/>
          <w:szCs w:val="18"/>
        </w:rPr>
        <w:t xml:space="preserve"> </w:t>
      </w:r>
      <w:proofErr w:type="gramStart"/>
      <w:r w:rsidRPr="00554FD9">
        <w:rPr>
          <w:sz w:val="18"/>
          <w:szCs w:val="18"/>
        </w:rPr>
        <w:t>2019</w:t>
      </w:r>
      <w:r>
        <w:rPr>
          <w:sz w:val="18"/>
          <w:szCs w:val="18"/>
        </w:rPr>
        <w:t xml:space="preserve"> (October)</w:t>
      </w:r>
      <w:r w:rsidRPr="00554FD9">
        <w:rPr>
          <w:sz w:val="18"/>
          <w:szCs w:val="18"/>
        </w:rPr>
        <w:t>.</w:t>
      </w:r>
      <w:proofErr w:type="gramEnd"/>
      <w:r w:rsidRPr="00554FD9">
        <w:rPr>
          <w:sz w:val="18"/>
          <w:szCs w:val="18"/>
        </w:rPr>
        <w:t xml:space="preserve"> </w:t>
      </w:r>
      <w:r w:rsidRPr="00554FD9">
        <w:rPr>
          <w:i/>
          <w:sz w:val="18"/>
          <w:szCs w:val="18"/>
        </w:rPr>
        <w:t>Building Relationships through Innovative Development of Gender-Based Violence Awareness in Europe (Bridge Project). Care Professionals Survey – 1</w:t>
      </w:r>
      <w:r w:rsidRPr="00554FD9">
        <w:rPr>
          <w:i/>
          <w:sz w:val="18"/>
          <w:szCs w:val="18"/>
          <w:vertAlign w:val="superscript"/>
        </w:rPr>
        <w:t>st</w:t>
      </w:r>
      <w:r w:rsidRPr="00554FD9">
        <w:rPr>
          <w:i/>
          <w:sz w:val="18"/>
          <w:szCs w:val="18"/>
        </w:rPr>
        <w:t xml:space="preserve"> Data Collection – Key </w:t>
      </w:r>
      <w:r>
        <w:rPr>
          <w:i/>
          <w:sz w:val="18"/>
          <w:szCs w:val="18"/>
        </w:rPr>
        <w:t xml:space="preserve">Findings. </w:t>
      </w:r>
      <w:r w:rsidRPr="005E4BF5">
        <w:rPr>
          <w:i/>
          <w:sz w:val="18"/>
          <w:szCs w:val="18"/>
          <w:lang w:val="fr-FR"/>
        </w:rPr>
        <w:t>Malta</w:t>
      </w:r>
      <w:r w:rsidRPr="005E4BF5">
        <w:rPr>
          <w:sz w:val="18"/>
          <w:szCs w:val="18"/>
          <w:lang w:val="fr-FR"/>
        </w:rPr>
        <w:t>.</w:t>
      </w:r>
      <w:r w:rsidRPr="005E4BF5">
        <w:rPr>
          <w:i/>
          <w:sz w:val="18"/>
          <w:szCs w:val="18"/>
          <w:lang w:val="fr-FR"/>
        </w:rPr>
        <w:t xml:space="preserve"> </w:t>
      </w:r>
      <w:r w:rsidRPr="00554FD9">
        <w:rPr>
          <w:sz w:val="18"/>
          <w:szCs w:val="18"/>
          <w:lang w:val="fr-FR"/>
        </w:rPr>
        <w:t>Available: https://childhub.org/en/child-protection-online-library/data-collection-analysis-malta-bridge-project</w:t>
      </w:r>
    </w:p>
  </w:footnote>
  <w:footnote w:id="5">
    <w:p w:rsidR="000F65A5" w:rsidRPr="00BE5AA4" w:rsidRDefault="000F65A5">
      <w:pPr>
        <w:pStyle w:val="FootnoteText"/>
        <w:rPr>
          <w:sz w:val="18"/>
          <w:szCs w:val="18"/>
        </w:rPr>
      </w:pPr>
      <w:r w:rsidRPr="00BE5AA4">
        <w:rPr>
          <w:rStyle w:val="FootnoteReference"/>
          <w:sz w:val="18"/>
          <w:szCs w:val="18"/>
        </w:rPr>
        <w:footnoteRef/>
      </w:r>
      <w:r w:rsidRPr="00BE5AA4">
        <w:rPr>
          <w:sz w:val="18"/>
          <w:szCs w:val="18"/>
        </w:rPr>
        <w:t xml:space="preserve"> Respondents for the first data collection are not the same ones as those participating in the second data collection. </w:t>
      </w:r>
    </w:p>
  </w:footnote>
  <w:footnote w:id="6">
    <w:p w:rsidR="000F65A5" w:rsidRPr="00B82B40" w:rsidRDefault="000F65A5" w:rsidP="00B82B40">
      <w:pPr>
        <w:pStyle w:val="FootnoteText"/>
        <w:rPr>
          <w:sz w:val="18"/>
          <w:szCs w:val="18"/>
        </w:rPr>
      </w:pPr>
      <w:r w:rsidRPr="00A54AD3">
        <w:rPr>
          <w:rStyle w:val="FootnoteReference"/>
          <w:sz w:val="18"/>
          <w:szCs w:val="18"/>
        </w:rPr>
        <w:footnoteRef/>
      </w:r>
      <w:r w:rsidRPr="00B82B40">
        <w:rPr>
          <w:sz w:val="18"/>
          <w:szCs w:val="18"/>
        </w:rPr>
        <w:t xml:space="preserve"> </w:t>
      </w:r>
      <w:hyperlink r:id="rId1" w:history="1">
        <w:r w:rsidRPr="00B82B40">
          <w:rPr>
            <w:rStyle w:val="Hyperlink"/>
            <w:color w:val="auto"/>
            <w:sz w:val="18"/>
            <w:szCs w:val="18"/>
            <w:u w:val="none"/>
          </w:rPr>
          <w:t>https://fsws.gov.mt/en/appogg</w:t>
        </w:r>
      </w:hyperlink>
    </w:p>
  </w:footnote>
  <w:footnote w:id="7">
    <w:p w:rsidR="000F65A5" w:rsidRPr="00144924" w:rsidRDefault="000F65A5">
      <w:pPr>
        <w:pStyle w:val="FootnoteText"/>
        <w:rPr>
          <w:sz w:val="18"/>
          <w:szCs w:val="18"/>
        </w:rPr>
      </w:pPr>
      <w:r w:rsidRPr="00144924">
        <w:rPr>
          <w:rStyle w:val="FootnoteReference"/>
          <w:sz w:val="18"/>
          <w:szCs w:val="18"/>
        </w:rPr>
        <w:footnoteRef/>
      </w:r>
      <w:r w:rsidRPr="00144924">
        <w:rPr>
          <w:sz w:val="18"/>
          <w:szCs w:val="18"/>
        </w:rPr>
        <w:t xml:space="preserve"> Most of the respondents gave multiple answers. </w:t>
      </w:r>
    </w:p>
  </w:footnote>
  <w:footnote w:id="8">
    <w:p w:rsidR="000F65A5" w:rsidRPr="00FC1255" w:rsidRDefault="000F65A5">
      <w:pPr>
        <w:pStyle w:val="FootnoteText"/>
        <w:rPr>
          <w:sz w:val="18"/>
          <w:szCs w:val="18"/>
        </w:rPr>
      </w:pPr>
      <w:r w:rsidRPr="00FC1255">
        <w:rPr>
          <w:rStyle w:val="FootnoteReference"/>
          <w:sz w:val="18"/>
          <w:szCs w:val="18"/>
        </w:rPr>
        <w:footnoteRef/>
      </w:r>
      <w:r w:rsidRPr="00FC1255">
        <w:rPr>
          <w:sz w:val="18"/>
          <w:szCs w:val="18"/>
        </w:rPr>
        <w:t xml:space="preserve"> https://deputyprimeminister.gov.mt/en/MDH/Pages/Home.aspx</w:t>
      </w:r>
    </w:p>
  </w:footnote>
  <w:footnote w:id="9">
    <w:p w:rsidR="000F65A5" w:rsidRDefault="000F65A5">
      <w:pPr>
        <w:pStyle w:val="FootnoteText"/>
      </w:pPr>
      <w:r w:rsidRPr="00FC1255">
        <w:rPr>
          <w:rStyle w:val="FootnoteReference"/>
          <w:sz w:val="18"/>
          <w:szCs w:val="18"/>
        </w:rPr>
        <w:footnoteRef/>
      </w:r>
      <w:r w:rsidRPr="00FC1255">
        <w:rPr>
          <w:sz w:val="18"/>
          <w:szCs w:val="18"/>
        </w:rPr>
        <w:t xml:space="preserve"> https://deputyprimeminister.gov.mt/en/MDH/Pages/MDH-Genitourinary-Clinic.aspx</w:t>
      </w:r>
    </w:p>
  </w:footnote>
  <w:footnote w:id="10">
    <w:p w:rsidR="000F65A5" w:rsidRPr="004905A3" w:rsidRDefault="000F65A5">
      <w:pPr>
        <w:pStyle w:val="FootnoteText"/>
        <w:rPr>
          <w:sz w:val="18"/>
          <w:szCs w:val="18"/>
        </w:rPr>
      </w:pPr>
      <w:r w:rsidRPr="004905A3">
        <w:rPr>
          <w:rStyle w:val="FootnoteReference"/>
          <w:sz w:val="18"/>
          <w:szCs w:val="18"/>
        </w:rPr>
        <w:footnoteRef/>
      </w:r>
      <w:r w:rsidRPr="004905A3">
        <w:rPr>
          <w:sz w:val="18"/>
          <w:szCs w:val="18"/>
        </w:rPr>
        <w:t xml:space="preserve"> http://www.jrsmalta.org</w:t>
      </w:r>
    </w:p>
  </w:footnote>
  <w:footnote w:id="11">
    <w:p w:rsidR="000F65A5" w:rsidRPr="004905A3" w:rsidRDefault="000F65A5">
      <w:pPr>
        <w:pStyle w:val="FootnoteText"/>
        <w:rPr>
          <w:sz w:val="18"/>
          <w:szCs w:val="18"/>
        </w:rPr>
      </w:pPr>
      <w:r w:rsidRPr="004905A3">
        <w:rPr>
          <w:rStyle w:val="FootnoteReference"/>
          <w:sz w:val="18"/>
          <w:szCs w:val="18"/>
        </w:rPr>
        <w:footnoteRef/>
      </w:r>
      <w:r w:rsidRPr="004905A3">
        <w:rPr>
          <w:sz w:val="18"/>
          <w:szCs w:val="18"/>
        </w:rPr>
        <w:t xml:space="preserve"> https://migrantwomenmalta.org</w:t>
      </w:r>
    </w:p>
  </w:footnote>
  <w:footnote w:id="12">
    <w:p w:rsidR="000F65A5" w:rsidRPr="004905A3" w:rsidRDefault="000F65A5">
      <w:pPr>
        <w:pStyle w:val="FootnoteText"/>
        <w:rPr>
          <w:sz w:val="18"/>
          <w:szCs w:val="18"/>
        </w:rPr>
      </w:pPr>
      <w:r w:rsidRPr="004905A3">
        <w:rPr>
          <w:rStyle w:val="FootnoteReference"/>
          <w:sz w:val="18"/>
          <w:szCs w:val="18"/>
        </w:rPr>
        <w:footnoteRef/>
      </w:r>
      <w:r w:rsidRPr="004905A3">
        <w:rPr>
          <w:sz w:val="18"/>
          <w:szCs w:val="18"/>
        </w:rPr>
        <w:t xml:space="preserve"> https://www.caritasmalta.org</w:t>
      </w:r>
    </w:p>
  </w:footnote>
  <w:footnote w:id="13">
    <w:p w:rsidR="000F65A5" w:rsidRDefault="000F65A5">
      <w:pPr>
        <w:pStyle w:val="FootnoteText"/>
      </w:pPr>
      <w:r w:rsidRPr="004905A3">
        <w:rPr>
          <w:rStyle w:val="FootnoteReference"/>
          <w:sz w:val="18"/>
          <w:szCs w:val="18"/>
        </w:rPr>
        <w:footnoteRef/>
      </w:r>
      <w:r w:rsidRPr="004905A3">
        <w:rPr>
          <w:sz w:val="18"/>
          <w:szCs w:val="18"/>
        </w:rPr>
        <w:t xml:space="preserve"> http://maltagayrights.org/the-rainbow-support-service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DDB" w:rsidRDefault="00A50DDB" w:rsidP="00A50DDB">
    <w:pPr>
      <w:pStyle w:val="Header"/>
      <w:jc w:val="center"/>
    </w:pPr>
    <w:r>
      <w:rPr>
        <w:noProof/>
        <w:lang w:val="en-US"/>
      </w:rPr>
      <w:drawing>
        <wp:inline distT="0" distB="0" distL="0" distR="0" wp14:anchorId="2A9E97AE">
          <wp:extent cx="1183005" cy="12865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3005" cy="128651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06A20"/>
    <w:multiLevelType w:val="hybridMultilevel"/>
    <w:tmpl w:val="B1FEF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4632848"/>
    <w:multiLevelType w:val="hybridMultilevel"/>
    <w:tmpl w:val="31ACE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CDD53C9"/>
    <w:multiLevelType w:val="hybridMultilevel"/>
    <w:tmpl w:val="1D3E3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71A2746"/>
    <w:multiLevelType w:val="hybridMultilevel"/>
    <w:tmpl w:val="A4D61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F195697"/>
    <w:multiLevelType w:val="hybridMultilevel"/>
    <w:tmpl w:val="2AF2D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44A191E"/>
    <w:multiLevelType w:val="hybridMultilevel"/>
    <w:tmpl w:val="757A55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6FE3C0B"/>
    <w:multiLevelType w:val="hybridMultilevel"/>
    <w:tmpl w:val="4190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9D70032"/>
    <w:multiLevelType w:val="hybridMultilevel"/>
    <w:tmpl w:val="59744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C2E40D7"/>
    <w:multiLevelType w:val="hybridMultilevel"/>
    <w:tmpl w:val="53AC6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FFE4596"/>
    <w:multiLevelType w:val="hybridMultilevel"/>
    <w:tmpl w:val="7A8CA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6"/>
  </w:num>
  <w:num w:numId="5">
    <w:abstractNumId w:val="8"/>
  </w:num>
  <w:num w:numId="6">
    <w:abstractNumId w:val="9"/>
  </w:num>
  <w:num w:numId="7">
    <w:abstractNumId w:val="7"/>
  </w:num>
  <w:num w:numId="8">
    <w:abstractNumId w:val="5"/>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B7D"/>
    <w:rsid w:val="0001137C"/>
    <w:rsid w:val="000168D0"/>
    <w:rsid w:val="000176BE"/>
    <w:rsid w:val="00021675"/>
    <w:rsid w:val="000223F7"/>
    <w:rsid w:val="000333FA"/>
    <w:rsid w:val="000371DE"/>
    <w:rsid w:val="00056D98"/>
    <w:rsid w:val="000573A0"/>
    <w:rsid w:val="000643AA"/>
    <w:rsid w:val="00064FD0"/>
    <w:rsid w:val="00066D04"/>
    <w:rsid w:val="00066E45"/>
    <w:rsid w:val="00070920"/>
    <w:rsid w:val="00076B7D"/>
    <w:rsid w:val="0007701C"/>
    <w:rsid w:val="00077DF6"/>
    <w:rsid w:val="00084F70"/>
    <w:rsid w:val="0009297C"/>
    <w:rsid w:val="000936C7"/>
    <w:rsid w:val="000A7A99"/>
    <w:rsid w:val="000B65D8"/>
    <w:rsid w:val="000B66DA"/>
    <w:rsid w:val="000B74C5"/>
    <w:rsid w:val="000C2B84"/>
    <w:rsid w:val="000C3980"/>
    <w:rsid w:val="000D52AD"/>
    <w:rsid w:val="000D72E9"/>
    <w:rsid w:val="000E109D"/>
    <w:rsid w:val="000E295D"/>
    <w:rsid w:val="000E4CF9"/>
    <w:rsid w:val="000F5A0D"/>
    <w:rsid w:val="000F65A5"/>
    <w:rsid w:val="00100C8D"/>
    <w:rsid w:val="001014C6"/>
    <w:rsid w:val="001049DE"/>
    <w:rsid w:val="00104F78"/>
    <w:rsid w:val="00112E62"/>
    <w:rsid w:val="00116C23"/>
    <w:rsid w:val="0012722C"/>
    <w:rsid w:val="00130482"/>
    <w:rsid w:val="0013701D"/>
    <w:rsid w:val="0014269E"/>
    <w:rsid w:val="0014437C"/>
    <w:rsid w:val="00144924"/>
    <w:rsid w:val="00145628"/>
    <w:rsid w:val="00153130"/>
    <w:rsid w:val="00190D30"/>
    <w:rsid w:val="001A08EB"/>
    <w:rsid w:val="001A1220"/>
    <w:rsid w:val="001A415B"/>
    <w:rsid w:val="001A4E7B"/>
    <w:rsid w:val="001B1435"/>
    <w:rsid w:val="001C175F"/>
    <w:rsid w:val="001C449E"/>
    <w:rsid w:val="001C67D4"/>
    <w:rsid w:val="001C7FFB"/>
    <w:rsid w:val="001D62CE"/>
    <w:rsid w:val="001E7D91"/>
    <w:rsid w:val="001F14EA"/>
    <w:rsid w:val="001F2C82"/>
    <w:rsid w:val="001F4FCE"/>
    <w:rsid w:val="00210CD3"/>
    <w:rsid w:val="00220C73"/>
    <w:rsid w:val="00234303"/>
    <w:rsid w:val="002348AB"/>
    <w:rsid w:val="0026704D"/>
    <w:rsid w:val="00283217"/>
    <w:rsid w:val="0029247C"/>
    <w:rsid w:val="002938BD"/>
    <w:rsid w:val="00294713"/>
    <w:rsid w:val="00295397"/>
    <w:rsid w:val="002A21C5"/>
    <w:rsid w:val="002A2AB4"/>
    <w:rsid w:val="002A2FFA"/>
    <w:rsid w:val="002A799F"/>
    <w:rsid w:val="002B36B4"/>
    <w:rsid w:val="002C20E2"/>
    <w:rsid w:val="002C366E"/>
    <w:rsid w:val="002C5EE2"/>
    <w:rsid w:val="002D58DA"/>
    <w:rsid w:val="002D6C15"/>
    <w:rsid w:val="002D6C39"/>
    <w:rsid w:val="002E3D50"/>
    <w:rsid w:val="002E7D66"/>
    <w:rsid w:val="002F6119"/>
    <w:rsid w:val="0030070F"/>
    <w:rsid w:val="00312297"/>
    <w:rsid w:val="00314A1D"/>
    <w:rsid w:val="003153C4"/>
    <w:rsid w:val="003155C0"/>
    <w:rsid w:val="00321DFC"/>
    <w:rsid w:val="00334692"/>
    <w:rsid w:val="00340DE6"/>
    <w:rsid w:val="00346AD4"/>
    <w:rsid w:val="003523BA"/>
    <w:rsid w:val="00362C4E"/>
    <w:rsid w:val="00367FED"/>
    <w:rsid w:val="00392A24"/>
    <w:rsid w:val="00396782"/>
    <w:rsid w:val="00397A15"/>
    <w:rsid w:val="003A1A53"/>
    <w:rsid w:val="003A5A85"/>
    <w:rsid w:val="003B162F"/>
    <w:rsid w:val="003B16CD"/>
    <w:rsid w:val="003B231B"/>
    <w:rsid w:val="003B5A26"/>
    <w:rsid w:val="003C4C7C"/>
    <w:rsid w:val="003C633D"/>
    <w:rsid w:val="003E4203"/>
    <w:rsid w:val="003E50C4"/>
    <w:rsid w:val="003F12A6"/>
    <w:rsid w:val="003F231C"/>
    <w:rsid w:val="003F569D"/>
    <w:rsid w:val="00400080"/>
    <w:rsid w:val="0041502A"/>
    <w:rsid w:val="004169FD"/>
    <w:rsid w:val="00417D64"/>
    <w:rsid w:val="00420183"/>
    <w:rsid w:val="0042132F"/>
    <w:rsid w:val="00423F3F"/>
    <w:rsid w:val="00433E28"/>
    <w:rsid w:val="00444052"/>
    <w:rsid w:val="00453196"/>
    <w:rsid w:val="00454364"/>
    <w:rsid w:val="00463794"/>
    <w:rsid w:val="00465250"/>
    <w:rsid w:val="00471E17"/>
    <w:rsid w:val="00471F45"/>
    <w:rsid w:val="004803D1"/>
    <w:rsid w:val="00485767"/>
    <w:rsid w:val="004905A3"/>
    <w:rsid w:val="00491263"/>
    <w:rsid w:val="004923B9"/>
    <w:rsid w:val="0049475E"/>
    <w:rsid w:val="004A4A2C"/>
    <w:rsid w:val="004B4718"/>
    <w:rsid w:val="004C1A3D"/>
    <w:rsid w:val="004C3D4C"/>
    <w:rsid w:val="004E2406"/>
    <w:rsid w:val="004E6B5C"/>
    <w:rsid w:val="004F09C5"/>
    <w:rsid w:val="004F2B77"/>
    <w:rsid w:val="004F534B"/>
    <w:rsid w:val="00511B77"/>
    <w:rsid w:val="005155D2"/>
    <w:rsid w:val="00524C3A"/>
    <w:rsid w:val="005344BB"/>
    <w:rsid w:val="00545B16"/>
    <w:rsid w:val="0054779C"/>
    <w:rsid w:val="0055250F"/>
    <w:rsid w:val="00554FD9"/>
    <w:rsid w:val="005624BF"/>
    <w:rsid w:val="0057073E"/>
    <w:rsid w:val="00586880"/>
    <w:rsid w:val="00586C67"/>
    <w:rsid w:val="005A1E09"/>
    <w:rsid w:val="005A5DA1"/>
    <w:rsid w:val="005B1757"/>
    <w:rsid w:val="005C18C5"/>
    <w:rsid w:val="005C3657"/>
    <w:rsid w:val="005C4838"/>
    <w:rsid w:val="005D2207"/>
    <w:rsid w:val="005D58AD"/>
    <w:rsid w:val="005D5EBC"/>
    <w:rsid w:val="005E4BF5"/>
    <w:rsid w:val="005F2107"/>
    <w:rsid w:val="005F41CA"/>
    <w:rsid w:val="00601942"/>
    <w:rsid w:val="00602028"/>
    <w:rsid w:val="006065EF"/>
    <w:rsid w:val="006068C0"/>
    <w:rsid w:val="00613BE8"/>
    <w:rsid w:val="00615FE6"/>
    <w:rsid w:val="00621252"/>
    <w:rsid w:val="006244F6"/>
    <w:rsid w:val="0064719B"/>
    <w:rsid w:val="00647FF1"/>
    <w:rsid w:val="00654CB1"/>
    <w:rsid w:val="00660DF4"/>
    <w:rsid w:val="00662656"/>
    <w:rsid w:val="006658E6"/>
    <w:rsid w:val="00666A47"/>
    <w:rsid w:val="006727F3"/>
    <w:rsid w:val="0067627F"/>
    <w:rsid w:val="0068051F"/>
    <w:rsid w:val="00681313"/>
    <w:rsid w:val="00681951"/>
    <w:rsid w:val="00685399"/>
    <w:rsid w:val="0069102B"/>
    <w:rsid w:val="006A64AF"/>
    <w:rsid w:val="006B3392"/>
    <w:rsid w:val="006B74FF"/>
    <w:rsid w:val="006C27AE"/>
    <w:rsid w:val="006C5611"/>
    <w:rsid w:val="006C5F96"/>
    <w:rsid w:val="006C6946"/>
    <w:rsid w:val="006E5890"/>
    <w:rsid w:val="006F11EC"/>
    <w:rsid w:val="007073AC"/>
    <w:rsid w:val="00715528"/>
    <w:rsid w:val="00725EEF"/>
    <w:rsid w:val="00730734"/>
    <w:rsid w:val="00734900"/>
    <w:rsid w:val="007371AB"/>
    <w:rsid w:val="007432F1"/>
    <w:rsid w:val="007436FC"/>
    <w:rsid w:val="0074702E"/>
    <w:rsid w:val="00757EF6"/>
    <w:rsid w:val="00760D77"/>
    <w:rsid w:val="00763E86"/>
    <w:rsid w:val="00766A68"/>
    <w:rsid w:val="00777F7C"/>
    <w:rsid w:val="007857D3"/>
    <w:rsid w:val="007A2047"/>
    <w:rsid w:val="007B2F23"/>
    <w:rsid w:val="007B3B29"/>
    <w:rsid w:val="007B4900"/>
    <w:rsid w:val="007B5978"/>
    <w:rsid w:val="007C197E"/>
    <w:rsid w:val="007C249E"/>
    <w:rsid w:val="007C3624"/>
    <w:rsid w:val="007D2F01"/>
    <w:rsid w:val="007D7364"/>
    <w:rsid w:val="007E74F0"/>
    <w:rsid w:val="007E7E85"/>
    <w:rsid w:val="0080302E"/>
    <w:rsid w:val="00807021"/>
    <w:rsid w:val="008141E7"/>
    <w:rsid w:val="008249D9"/>
    <w:rsid w:val="0083178E"/>
    <w:rsid w:val="00842FAE"/>
    <w:rsid w:val="00845CAB"/>
    <w:rsid w:val="00846B21"/>
    <w:rsid w:val="00852BEE"/>
    <w:rsid w:val="00861FDE"/>
    <w:rsid w:val="00863ED9"/>
    <w:rsid w:val="0086427A"/>
    <w:rsid w:val="00870961"/>
    <w:rsid w:val="00875C8F"/>
    <w:rsid w:val="00877E4F"/>
    <w:rsid w:val="00880375"/>
    <w:rsid w:val="008803DD"/>
    <w:rsid w:val="0088699C"/>
    <w:rsid w:val="008934F1"/>
    <w:rsid w:val="008936BB"/>
    <w:rsid w:val="008A2158"/>
    <w:rsid w:val="008A625B"/>
    <w:rsid w:val="008A6261"/>
    <w:rsid w:val="008B191F"/>
    <w:rsid w:val="008B69EC"/>
    <w:rsid w:val="008D25B2"/>
    <w:rsid w:val="008D6899"/>
    <w:rsid w:val="008F4108"/>
    <w:rsid w:val="008F59D7"/>
    <w:rsid w:val="008F75CC"/>
    <w:rsid w:val="00902087"/>
    <w:rsid w:val="00913B1C"/>
    <w:rsid w:val="009152EC"/>
    <w:rsid w:val="00926340"/>
    <w:rsid w:val="00937CA3"/>
    <w:rsid w:val="009405B1"/>
    <w:rsid w:val="00946DA7"/>
    <w:rsid w:val="0095095A"/>
    <w:rsid w:val="0095190F"/>
    <w:rsid w:val="00954E54"/>
    <w:rsid w:val="009631F7"/>
    <w:rsid w:val="009725C9"/>
    <w:rsid w:val="00984EB9"/>
    <w:rsid w:val="00991BDF"/>
    <w:rsid w:val="00994F77"/>
    <w:rsid w:val="009A4C22"/>
    <w:rsid w:val="009B5CF5"/>
    <w:rsid w:val="009B6034"/>
    <w:rsid w:val="009B6ED9"/>
    <w:rsid w:val="009D0EF9"/>
    <w:rsid w:val="009E7924"/>
    <w:rsid w:val="009F36A7"/>
    <w:rsid w:val="009F41E6"/>
    <w:rsid w:val="009F74EF"/>
    <w:rsid w:val="00A01DDB"/>
    <w:rsid w:val="00A033A5"/>
    <w:rsid w:val="00A110BC"/>
    <w:rsid w:val="00A1306E"/>
    <w:rsid w:val="00A25811"/>
    <w:rsid w:val="00A50DDB"/>
    <w:rsid w:val="00A54AD3"/>
    <w:rsid w:val="00A60F98"/>
    <w:rsid w:val="00A6212D"/>
    <w:rsid w:val="00A62B13"/>
    <w:rsid w:val="00A73311"/>
    <w:rsid w:val="00A74B77"/>
    <w:rsid w:val="00A80817"/>
    <w:rsid w:val="00A80FDF"/>
    <w:rsid w:val="00A83CCB"/>
    <w:rsid w:val="00A84023"/>
    <w:rsid w:val="00A90813"/>
    <w:rsid w:val="00A94032"/>
    <w:rsid w:val="00A94392"/>
    <w:rsid w:val="00A96F6E"/>
    <w:rsid w:val="00A97070"/>
    <w:rsid w:val="00A9756B"/>
    <w:rsid w:val="00AA31B4"/>
    <w:rsid w:val="00AA5C22"/>
    <w:rsid w:val="00AB4623"/>
    <w:rsid w:val="00AD788C"/>
    <w:rsid w:val="00AE377D"/>
    <w:rsid w:val="00AE459E"/>
    <w:rsid w:val="00AF2D5B"/>
    <w:rsid w:val="00AF3B03"/>
    <w:rsid w:val="00B00544"/>
    <w:rsid w:val="00B017C9"/>
    <w:rsid w:val="00B03D37"/>
    <w:rsid w:val="00B07D1A"/>
    <w:rsid w:val="00B07FD4"/>
    <w:rsid w:val="00B10829"/>
    <w:rsid w:val="00B26D32"/>
    <w:rsid w:val="00B273B3"/>
    <w:rsid w:val="00B312A0"/>
    <w:rsid w:val="00B4207F"/>
    <w:rsid w:val="00B46705"/>
    <w:rsid w:val="00B644AD"/>
    <w:rsid w:val="00B64AB9"/>
    <w:rsid w:val="00B82B40"/>
    <w:rsid w:val="00B907C9"/>
    <w:rsid w:val="00BA3E98"/>
    <w:rsid w:val="00BB4283"/>
    <w:rsid w:val="00BB54FF"/>
    <w:rsid w:val="00BC4010"/>
    <w:rsid w:val="00BC464B"/>
    <w:rsid w:val="00BD03D5"/>
    <w:rsid w:val="00BD34A2"/>
    <w:rsid w:val="00BD68AD"/>
    <w:rsid w:val="00BE47B2"/>
    <w:rsid w:val="00BE5AA4"/>
    <w:rsid w:val="00BE5C0A"/>
    <w:rsid w:val="00BF3D7F"/>
    <w:rsid w:val="00BF480C"/>
    <w:rsid w:val="00C0424D"/>
    <w:rsid w:val="00C110D2"/>
    <w:rsid w:val="00C1194C"/>
    <w:rsid w:val="00C13C4E"/>
    <w:rsid w:val="00C2027C"/>
    <w:rsid w:val="00C20E5C"/>
    <w:rsid w:val="00C21A3C"/>
    <w:rsid w:val="00C22154"/>
    <w:rsid w:val="00C229DE"/>
    <w:rsid w:val="00C248D3"/>
    <w:rsid w:val="00C27BD1"/>
    <w:rsid w:val="00C42A27"/>
    <w:rsid w:val="00C44FCC"/>
    <w:rsid w:val="00C46B3C"/>
    <w:rsid w:val="00C470A1"/>
    <w:rsid w:val="00C52127"/>
    <w:rsid w:val="00C52B2C"/>
    <w:rsid w:val="00C60C39"/>
    <w:rsid w:val="00C61D7D"/>
    <w:rsid w:val="00C71F63"/>
    <w:rsid w:val="00C762B9"/>
    <w:rsid w:val="00C80801"/>
    <w:rsid w:val="00C80B94"/>
    <w:rsid w:val="00C8196A"/>
    <w:rsid w:val="00C8532E"/>
    <w:rsid w:val="00C87355"/>
    <w:rsid w:val="00C87B02"/>
    <w:rsid w:val="00CA1914"/>
    <w:rsid w:val="00CA1F0E"/>
    <w:rsid w:val="00CA4976"/>
    <w:rsid w:val="00CA543F"/>
    <w:rsid w:val="00CA60B4"/>
    <w:rsid w:val="00CA6CAF"/>
    <w:rsid w:val="00CB4A79"/>
    <w:rsid w:val="00CB6357"/>
    <w:rsid w:val="00CD2D31"/>
    <w:rsid w:val="00CD35E9"/>
    <w:rsid w:val="00CE045E"/>
    <w:rsid w:val="00CE7E50"/>
    <w:rsid w:val="00CF4EF4"/>
    <w:rsid w:val="00CF667B"/>
    <w:rsid w:val="00D1128D"/>
    <w:rsid w:val="00D13597"/>
    <w:rsid w:val="00D145C0"/>
    <w:rsid w:val="00D14FFD"/>
    <w:rsid w:val="00D21D92"/>
    <w:rsid w:val="00D267FD"/>
    <w:rsid w:val="00D30220"/>
    <w:rsid w:val="00D3107A"/>
    <w:rsid w:val="00D50922"/>
    <w:rsid w:val="00D52D2E"/>
    <w:rsid w:val="00D6598A"/>
    <w:rsid w:val="00D66AA1"/>
    <w:rsid w:val="00D72ECA"/>
    <w:rsid w:val="00D81F58"/>
    <w:rsid w:val="00D850BA"/>
    <w:rsid w:val="00D855A4"/>
    <w:rsid w:val="00D92574"/>
    <w:rsid w:val="00D926ED"/>
    <w:rsid w:val="00D93F3A"/>
    <w:rsid w:val="00DA3891"/>
    <w:rsid w:val="00DB4004"/>
    <w:rsid w:val="00DB5511"/>
    <w:rsid w:val="00DD4942"/>
    <w:rsid w:val="00DF36DB"/>
    <w:rsid w:val="00DF4BBC"/>
    <w:rsid w:val="00DF5C3A"/>
    <w:rsid w:val="00DF6FF8"/>
    <w:rsid w:val="00E05A85"/>
    <w:rsid w:val="00E20FF1"/>
    <w:rsid w:val="00E2220C"/>
    <w:rsid w:val="00E260AC"/>
    <w:rsid w:val="00E34EB2"/>
    <w:rsid w:val="00E35E70"/>
    <w:rsid w:val="00E36663"/>
    <w:rsid w:val="00E37E6D"/>
    <w:rsid w:val="00E4241E"/>
    <w:rsid w:val="00E44F2B"/>
    <w:rsid w:val="00E50947"/>
    <w:rsid w:val="00E535C2"/>
    <w:rsid w:val="00E5514C"/>
    <w:rsid w:val="00E6273A"/>
    <w:rsid w:val="00E81DC3"/>
    <w:rsid w:val="00E85C60"/>
    <w:rsid w:val="00E86CAD"/>
    <w:rsid w:val="00E94187"/>
    <w:rsid w:val="00E9468C"/>
    <w:rsid w:val="00EA5622"/>
    <w:rsid w:val="00EC5E9E"/>
    <w:rsid w:val="00EC6194"/>
    <w:rsid w:val="00ED0584"/>
    <w:rsid w:val="00ED5167"/>
    <w:rsid w:val="00ED5A0E"/>
    <w:rsid w:val="00ED6DC6"/>
    <w:rsid w:val="00EE4C90"/>
    <w:rsid w:val="00F053AC"/>
    <w:rsid w:val="00F05966"/>
    <w:rsid w:val="00F15372"/>
    <w:rsid w:val="00F228A4"/>
    <w:rsid w:val="00F23A39"/>
    <w:rsid w:val="00F31510"/>
    <w:rsid w:val="00F421B5"/>
    <w:rsid w:val="00F42B97"/>
    <w:rsid w:val="00F4467A"/>
    <w:rsid w:val="00F46CC7"/>
    <w:rsid w:val="00F52503"/>
    <w:rsid w:val="00F717D7"/>
    <w:rsid w:val="00F7251E"/>
    <w:rsid w:val="00F92910"/>
    <w:rsid w:val="00F97241"/>
    <w:rsid w:val="00FA1748"/>
    <w:rsid w:val="00FA52CA"/>
    <w:rsid w:val="00FA67C2"/>
    <w:rsid w:val="00FB44FA"/>
    <w:rsid w:val="00FB4BD2"/>
    <w:rsid w:val="00FB7925"/>
    <w:rsid w:val="00FC1255"/>
    <w:rsid w:val="00FC13B8"/>
    <w:rsid w:val="00FC5534"/>
    <w:rsid w:val="00FD0C51"/>
    <w:rsid w:val="00FD413C"/>
    <w:rsid w:val="00FD79CD"/>
    <w:rsid w:val="00FE09B6"/>
    <w:rsid w:val="00FE4721"/>
    <w:rsid w:val="00FE4F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CC7"/>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Hyperlink">
    <w:name w:val="Hyperlink"/>
    <w:basedOn w:val="DefaultParagraphFont"/>
    <w:uiPriority w:val="99"/>
    <w:semiHidden/>
    <w:unhideWhenUsed/>
    <w:rsid w:val="006727F3"/>
    <w:rPr>
      <w:color w:val="0000FF"/>
      <w:u w:val="single"/>
    </w:rPr>
  </w:style>
  <w:style w:type="character" w:styleId="CommentReference">
    <w:name w:val="annotation reference"/>
    <w:basedOn w:val="DefaultParagraphFont"/>
    <w:uiPriority w:val="99"/>
    <w:semiHidden/>
    <w:unhideWhenUsed/>
    <w:rsid w:val="0068051F"/>
    <w:rPr>
      <w:sz w:val="16"/>
      <w:szCs w:val="16"/>
    </w:rPr>
  </w:style>
  <w:style w:type="paragraph" w:styleId="CommentText">
    <w:name w:val="annotation text"/>
    <w:basedOn w:val="Normal"/>
    <w:link w:val="CommentTextChar"/>
    <w:uiPriority w:val="99"/>
    <w:semiHidden/>
    <w:unhideWhenUsed/>
    <w:rsid w:val="0068051F"/>
    <w:pPr>
      <w:spacing w:line="240" w:lineRule="auto"/>
    </w:pPr>
    <w:rPr>
      <w:sz w:val="20"/>
      <w:szCs w:val="20"/>
    </w:rPr>
  </w:style>
  <w:style w:type="character" w:customStyle="1" w:styleId="CommentTextChar">
    <w:name w:val="Comment Text Char"/>
    <w:basedOn w:val="DefaultParagraphFont"/>
    <w:link w:val="CommentText"/>
    <w:uiPriority w:val="99"/>
    <w:semiHidden/>
    <w:rsid w:val="0068051F"/>
    <w:rPr>
      <w:sz w:val="20"/>
      <w:szCs w:val="20"/>
    </w:rPr>
  </w:style>
  <w:style w:type="paragraph" w:styleId="CommentSubject">
    <w:name w:val="annotation subject"/>
    <w:basedOn w:val="CommentText"/>
    <w:next w:val="CommentText"/>
    <w:link w:val="CommentSubjectChar"/>
    <w:uiPriority w:val="99"/>
    <w:semiHidden/>
    <w:unhideWhenUsed/>
    <w:rsid w:val="0068051F"/>
    <w:rPr>
      <w:b/>
      <w:bCs/>
    </w:rPr>
  </w:style>
  <w:style w:type="character" w:customStyle="1" w:styleId="CommentSubjectChar">
    <w:name w:val="Comment Subject Char"/>
    <w:basedOn w:val="CommentTextChar"/>
    <w:link w:val="CommentSubject"/>
    <w:uiPriority w:val="99"/>
    <w:semiHidden/>
    <w:rsid w:val="0068051F"/>
    <w:rPr>
      <w:b/>
      <w:bCs/>
      <w:sz w:val="20"/>
      <w:szCs w:val="20"/>
    </w:rPr>
  </w:style>
  <w:style w:type="paragraph" w:styleId="Revision">
    <w:name w:val="Revision"/>
    <w:hidden/>
    <w:uiPriority w:val="99"/>
    <w:semiHidden/>
    <w:rsid w:val="00084F7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CC7"/>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character" w:styleId="Hyperlink">
    <w:name w:val="Hyperlink"/>
    <w:basedOn w:val="DefaultParagraphFont"/>
    <w:uiPriority w:val="99"/>
    <w:semiHidden/>
    <w:unhideWhenUsed/>
    <w:rsid w:val="006727F3"/>
    <w:rPr>
      <w:color w:val="0000FF"/>
      <w:u w:val="single"/>
    </w:rPr>
  </w:style>
  <w:style w:type="character" w:styleId="CommentReference">
    <w:name w:val="annotation reference"/>
    <w:basedOn w:val="DefaultParagraphFont"/>
    <w:uiPriority w:val="99"/>
    <w:semiHidden/>
    <w:unhideWhenUsed/>
    <w:rsid w:val="0068051F"/>
    <w:rPr>
      <w:sz w:val="16"/>
      <w:szCs w:val="16"/>
    </w:rPr>
  </w:style>
  <w:style w:type="paragraph" w:styleId="CommentText">
    <w:name w:val="annotation text"/>
    <w:basedOn w:val="Normal"/>
    <w:link w:val="CommentTextChar"/>
    <w:uiPriority w:val="99"/>
    <w:semiHidden/>
    <w:unhideWhenUsed/>
    <w:rsid w:val="0068051F"/>
    <w:pPr>
      <w:spacing w:line="240" w:lineRule="auto"/>
    </w:pPr>
    <w:rPr>
      <w:sz w:val="20"/>
      <w:szCs w:val="20"/>
    </w:rPr>
  </w:style>
  <w:style w:type="character" w:customStyle="1" w:styleId="CommentTextChar">
    <w:name w:val="Comment Text Char"/>
    <w:basedOn w:val="DefaultParagraphFont"/>
    <w:link w:val="CommentText"/>
    <w:uiPriority w:val="99"/>
    <w:semiHidden/>
    <w:rsid w:val="0068051F"/>
    <w:rPr>
      <w:sz w:val="20"/>
      <w:szCs w:val="20"/>
    </w:rPr>
  </w:style>
  <w:style w:type="paragraph" w:styleId="CommentSubject">
    <w:name w:val="annotation subject"/>
    <w:basedOn w:val="CommentText"/>
    <w:next w:val="CommentText"/>
    <w:link w:val="CommentSubjectChar"/>
    <w:uiPriority w:val="99"/>
    <w:semiHidden/>
    <w:unhideWhenUsed/>
    <w:rsid w:val="0068051F"/>
    <w:rPr>
      <w:b/>
      <w:bCs/>
    </w:rPr>
  </w:style>
  <w:style w:type="character" w:customStyle="1" w:styleId="CommentSubjectChar">
    <w:name w:val="Comment Subject Char"/>
    <w:basedOn w:val="CommentTextChar"/>
    <w:link w:val="CommentSubject"/>
    <w:uiPriority w:val="99"/>
    <w:semiHidden/>
    <w:rsid w:val="0068051F"/>
    <w:rPr>
      <w:b/>
      <w:bCs/>
      <w:sz w:val="20"/>
      <w:szCs w:val="20"/>
    </w:rPr>
  </w:style>
  <w:style w:type="paragraph" w:styleId="Revision">
    <w:name w:val="Revision"/>
    <w:hidden/>
    <w:uiPriority w:val="99"/>
    <w:semiHidden/>
    <w:rsid w:val="00084F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9889051">
      <w:bodyDiv w:val="1"/>
      <w:marLeft w:val="0"/>
      <w:marRight w:val="0"/>
      <w:marTop w:val="0"/>
      <w:marBottom w:val="0"/>
      <w:divBdr>
        <w:top w:val="none" w:sz="0" w:space="0" w:color="auto"/>
        <w:left w:val="none" w:sz="0" w:space="0" w:color="auto"/>
        <w:bottom w:val="none" w:sz="0" w:space="0" w:color="auto"/>
        <w:right w:val="none" w:sz="0" w:space="0" w:color="auto"/>
      </w:divBdr>
    </w:div>
    <w:div w:id="181464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hyperlink" Target="https://childhub.org/en/series-of-child-protection-materials/bridge" TargetMode="External"/><Relationship Id="rId14" Type="http://schemas.openxmlformats.org/officeDocument/2006/relationships/chart" Target="charts/chart5.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fsws.gov.mt/en/appog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Knowledge of GBV</c:v>
                </c:pt>
              </c:strCache>
            </c:strRef>
          </c:tx>
          <c:dLbls>
            <c:showLegendKey val="0"/>
            <c:showVal val="1"/>
            <c:showCatName val="0"/>
            <c:showSerName val="0"/>
            <c:showPercent val="0"/>
            <c:showBubbleSize val="0"/>
            <c:showLeaderLines val="1"/>
          </c:dLbls>
          <c:cat>
            <c:strRef>
              <c:f>Sheet1!$A$2:$A$3</c:f>
              <c:strCache>
                <c:ptCount val="2"/>
                <c:pt idx="0">
                  <c:v>Somewhat</c:v>
                </c:pt>
                <c:pt idx="1">
                  <c:v>Very much</c:v>
                </c:pt>
              </c:strCache>
            </c:strRef>
          </c:cat>
          <c:val>
            <c:numRef>
              <c:f>Sheet1!$B$2:$B$3</c:f>
              <c:numCache>
                <c:formatCode>General</c:formatCode>
                <c:ptCount val="2"/>
                <c:pt idx="0">
                  <c:v>3</c:v>
                </c:pt>
                <c:pt idx="1">
                  <c:v>6</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Awareness of Formal / Informal Identification Procedures</a:t>
            </a:r>
          </a:p>
        </c:rich>
      </c:tx>
      <c:overlay val="0"/>
    </c:title>
    <c:autoTitleDeleted val="0"/>
    <c:plotArea>
      <c:layout/>
      <c:pieChart>
        <c:varyColors val="1"/>
        <c:ser>
          <c:idx val="0"/>
          <c:order val="0"/>
          <c:tx>
            <c:strRef>
              <c:f>Sheet1!$B$1</c:f>
              <c:strCache>
                <c:ptCount val="1"/>
                <c:pt idx="0">
                  <c:v>Awareness of Formal / Informa Identification Procedures</c:v>
                </c:pt>
              </c:strCache>
            </c:strRef>
          </c:tx>
          <c:dLbls>
            <c:showLegendKey val="0"/>
            <c:showVal val="1"/>
            <c:showCatName val="0"/>
            <c:showSerName val="0"/>
            <c:showPercent val="0"/>
            <c:showBubbleSize val="0"/>
            <c:showLeaderLines val="1"/>
          </c:dLbls>
          <c:cat>
            <c:strRef>
              <c:f>Sheet1!$A$2:$A$4</c:f>
              <c:strCache>
                <c:ptCount val="3"/>
                <c:pt idx="0">
                  <c:v>Written Protocols</c:v>
                </c:pt>
                <c:pt idx="1">
                  <c:v>Informal Mechanisms</c:v>
                </c:pt>
                <c:pt idx="2">
                  <c:v>Not aware of wheter procedures exist</c:v>
                </c:pt>
              </c:strCache>
            </c:strRef>
          </c:cat>
          <c:val>
            <c:numRef>
              <c:f>Sheet1!$B$2:$B$4</c:f>
              <c:numCache>
                <c:formatCode>General</c:formatCode>
                <c:ptCount val="3"/>
                <c:pt idx="0">
                  <c:v>2</c:v>
                </c:pt>
                <c:pt idx="1">
                  <c:v>4</c:v>
                </c:pt>
                <c:pt idx="2">
                  <c:v>3</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4307283672727378"/>
          <c:y val="0.42305043733513159"/>
          <c:w val="0.33333333333333331"/>
          <c:h val="0.57370677951819637"/>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Comfortableness in dealing</a:t>
            </a:r>
            <a:r>
              <a:rPr lang="en-US" baseline="0"/>
              <a:t> </a:t>
            </a:r>
            <a:r>
              <a:rPr lang="en-US"/>
              <a:t>with child disclosure</a:t>
            </a:r>
          </a:p>
        </c:rich>
      </c:tx>
      <c:overlay val="0"/>
    </c:title>
    <c:autoTitleDeleted val="0"/>
    <c:plotArea>
      <c:layout/>
      <c:pieChart>
        <c:varyColors val="1"/>
        <c:ser>
          <c:idx val="0"/>
          <c:order val="0"/>
          <c:tx>
            <c:strRef>
              <c:f>Sheet1!$B$1</c:f>
              <c:strCache>
                <c:ptCount val="1"/>
                <c:pt idx="0">
                  <c:v>Comfortableness in dealing with 
child disclosure</c:v>
                </c:pt>
              </c:strCache>
            </c:strRef>
          </c:tx>
          <c:dLbls>
            <c:showLegendKey val="0"/>
            <c:showVal val="1"/>
            <c:showCatName val="0"/>
            <c:showSerName val="0"/>
            <c:showPercent val="0"/>
            <c:showBubbleSize val="0"/>
            <c:showLeaderLines val="1"/>
          </c:dLbls>
          <c:cat>
            <c:strRef>
              <c:f>Sheet1!$A$2:$A$5</c:f>
              <c:strCache>
                <c:ptCount val="4"/>
                <c:pt idx="0">
                  <c:v>Not really</c:v>
                </c:pt>
                <c:pt idx="1">
                  <c:v>Somewhat</c:v>
                </c:pt>
                <c:pt idx="2">
                  <c:v>Very much</c:v>
                </c:pt>
                <c:pt idx="3">
                  <c:v>Don't know</c:v>
                </c:pt>
              </c:strCache>
            </c:strRef>
          </c:cat>
          <c:val>
            <c:numRef>
              <c:f>Sheet1!$B$2:$B$5</c:f>
              <c:numCache>
                <c:formatCode>General</c:formatCode>
                <c:ptCount val="4"/>
                <c:pt idx="0">
                  <c:v>1</c:v>
                </c:pt>
                <c:pt idx="1">
                  <c:v>2</c:v>
                </c:pt>
                <c:pt idx="2">
                  <c:v>5</c:v>
                </c:pt>
                <c:pt idx="3">
                  <c:v>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GBV Survivor Referral Procedures</c:v>
                </c:pt>
              </c:strCache>
            </c:strRef>
          </c:tx>
          <c:dLbls>
            <c:showLegendKey val="0"/>
            <c:showVal val="1"/>
            <c:showCatName val="0"/>
            <c:showSerName val="0"/>
            <c:showPercent val="0"/>
            <c:showBubbleSize val="0"/>
            <c:showLeaderLines val="1"/>
          </c:dLbls>
          <c:cat>
            <c:strRef>
              <c:f>Sheet1!$A$2:$A$5</c:f>
              <c:strCache>
                <c:ptCount val="4"/>
                <c:pt idx="0">
                  <c:v>Written Protocols</c:v>
                </c:pt>
                <c:pt idx="1">
                  <c:v>Informal Mechanisms</c:v>
                </c:pt>
                <c:pt idx="2">
                  <c:v>No Referrals</c:v>
                </c:pt>
                <c:pt idx="3">
                  <c:v>Don't Know</c:v>
                </c:pt>
              </c:strCache>
            </c:strRef>
          </c:cat>
          <c:val>
            <c:numRef>
              <c:f>Sheet1!$B$2:$B$5</c:f>
              <c:numCache>
                <c:formatCode>General</c:formatCode>
                <c:ptCount val="4"/>
                <c:pt idx="0">
                  <c:v>2</c:v>
                </c:pt>
                <c:pt idx="1">
                  <c:v>4</c:v>
                </c:pt>
                <c:pt idx="2">
                  <c:v>1</c:v>
                </c:pt>
                <c:pt idx="3">
                  <c:v>2</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Sheet1!$B$1</c:f>
              <c:strCache>
                <c:ptCount val="1"/>
                <c:pt idx="0">
                  <c:v>Very much</c:v>
                </c:pt>
              </c:strCache>
            </c:strRef>
          </c:tx>
          <c:spPr>
            <a:solidFill>
              <a:srgbClr val="33B1D9"/>
            </a:solidFill>
          </c:spPr>
          <c:invertIfNegative val="0"/>
          <c:cat>
            <c:strRef>
              <c:f>Sheet1!$A$2:$A$8</c:f>
              <c:strCache>
                <c:ptCount val="7"/>
                <c:pt idx="0">
                  <c:v>Work according to the child's best interests</c:v>
                </c:pt>
                <c:pt idx="1">
                  <c:v>Ensure child's safety, right to life, survival &amp; development</c:v>
                </c:pt>
                <c:pt idx="2">
                  <c:v>Comfort the child</c:v>
                </c:pt>
                <c:pt idx="3">
                  <c:v>Ensure appropriate confidentiality</c:v>
                </c:pt>
                <c:pt idx="4">
                  <c:v>Involve the child in decision-making</c:v>
                </c:pt>
                <c:pt idx="5">
                  <c:v>Treat every child fairly and equally</c:v>
                </c:pt>
                <c:pt idx="6">
                  <c:v>Strengthen the child's resilience</c:v>
                </c:pt>
              </c:strCache>
            </c:strRef>
          </c:cat>
          <c:val>
            <c:numRef>
              <c:f>Sheet1!$B$2:$B$8</c:f>
              <c:numCache>
                <c:formatCode>General</c:formatCode>
                <c:ptCount val="7"/>
                <c:pt idx="0">
                  <c:v>8</c:v>
                </c:pt>
                <c:pt idx="1">
                  <c:v>8</c:v>
                </c:pt>
                <c:pt idx="2">
                  <c:v>6</c:v>
                </c:pt>
                <c:pt idx="3">
                  <c:v>9</c:v>
                </c:pt>
                <c:pt idx="4">
                  <c:v>5</c:v>
                </c:pt>
                <c:pt idx="5">
                  <c:v>9</c:v>
                </c:pt>
                <c:pt idx="6">
                  <c:v>8</c:v>
                </c:pt>
              </c:numCache>
            </c:numRef>
          </c:val>
        </c:ser>
        <c:ser>
          <c:idx val="1"/>
          <c:order val="1"/>
          <c:tx>
            <c:strRef>
              <c:f>Sheet1!$C$1</c:f>
              <c:strCache>
                <c:ptCount val="1"/>
                <c:pt idx="0">
                  <c:v>Somewhat</c:v>
                </c:pt>
              </c:strCache>
            </c:strRef>
          </c:tx>
          <c:spPr>
            <a:solidFill>
              <a:srgbClr val="7030A0"/>
            </a:solidFill>
          </c:spPr>
          <c:invertIfNegative val="0"/>
          <c:cat>
            <c:strRef>
              <c:f>Sheet1!$A$2:$A$8</c:f>
              <c:strCache>
                <c:ptCount val="7"/>
                <c:pt idx="0">
                  <c:v>Work according to the child's best interests</c:v>
                </c:pt>
                <c:pt idx="1">
                  <c:v>Ensure child's safety, right to life, survival &amp; development</c:v>
                </c:pt>
                <c:pt idx="2">
                  <c:v>Comfort the child</c:v>
                </c:pt>
                <c:pt idx="3">
                  <c:v>Ensure appropriate confidentiality</c:v>
                </c:pt>
                <c:pt idx="4">
                  <c:v>Involve the child in decision-making</c:v>
                </c:pt>
                <c:pt idx="5">
                  <c:v>Treat every child fairly and equally</c:v>
                </c:pt>
                <c:pt idx="6">
                  <c:v>Strengthen the child's resilience</c:v>
                </c:pt>
              </c:strCache>
            </c:strRef>
          </c:cat>
          <c:val>
            <c:numRef>
              <c:f>Sheet1!$C$2:$C$8</c:f>
              <c:numCache>
                <c:formatCode>General</c:formatCode>
                <c:ptCount val="7"/>
                <c:pt idx="0">
                  <c:v>0</c:v>
                </c:pt>
                <c:pt idx="1">
                  <c:v>0</c:v>
                </c:pt>
                <c:pt idx="2">
                  <c:v>2</c:v>
                </c:pt>
                <c:pt idx="3">
                  <c:v>0</c:v>
                </c:pt>
                <c:pt idx="4">
                  <c:v>4</c:v>
                </c:pt>
                <c:pt idx="5">
                  <c:v>0</c:v>
                </c:pt>
                <c:pt idx="6">
                  <c:v>0</c:v>
                </c:pt>
              </c:numCache>
            </c:numRef>
          </c:val>
        </c:ser>
        <c:ser>
          <c:idx val="2"/>
          <c:order val="2"/>
          <c:tx>
            <c:strRef>
              <c:f>Sheet1!$D$1</c:f>
              <c:strCache>
                <c:ptCount val="1"/>
                <c:pt idx="0">
                  <c:v>Not really</c:v>
                </c:pt>
              </c:strCache>
            </c:strRef>
          </c:tx>
          <c:invertIfNegative val="0"/>
          <c:cat>
            <c:strRef>
              <c:f>Sheet1!$A$2:$A$8</c:f>
              <c:strCache>
                <c:ptCount val="7"/>
                <c:pt idx="0">
                  <c:v>Work according to the child's best interests</c:v>
                </c:pt>
                <c:pt idx="1">
                  <c:v>Ensure child's safety, right to life, survival &amp; development</c:v>
                </c:pt>
                <c:pt idx="2">
                  <c:v>Comfort the child</c:v>
                </c:pt>
                <c:pt idx="3">
                  <c:v>Ensure appropriate confidentiality</c:v>
                </c:pt>
                <c:pt idx="4">
                  <c:v>Involve the child in decision-making</c:v>
                </c:pt>
                <c:pt idx="5">
                  <c:v>Treat every child fairly and equally</c:v>
                </c:pt>
                <c:pt idx="6">
                  <c:v>Strengthen the child's resilience</c:v>
                </c:pt>
              </c:strCache>
            </c:strRef>
          </c:cat>
          <c:val>
            <c:numRef>
              <c:f>Sheet1!$D$2:$D$8</c:f>
              <c:numCache>
                <c:formatCode>General</c:formatCode>
                <c:ptCount val="7"/>
                <c:pt idx="0">
                  <c:v>1</c:v>
                </c:pt>
                <c:pt idx="1">
                  <c:v>1</c:v>
                </c:pt>
                <c:pt idx="2">
                  <c:v>1</c:v>
                </c:pt>
                <c:pt idx="3">
                  <c:v>0</c:v>
                </c:pt>
                <c:pt idx="4">
                  <c:v>0</c:v>
                </c:pt>
                <c:pt idx="5">
                  <c:v>0</c:v>
                </c:pt>
                <c:pt idx="6">
                  <c:v>1</c:v>
                </c:pt>
              </c:numCache>
            </c:numRef>
          </c:val>
        </c:ser>
        <c:dLbls>
          <c:showLegendKey val="0"/>
          <c:showVal val="0"/>
          <c:showCatName val="0"/>
          <c:showSerName val="0"/>
          <c:showPercent val="0"/>
          <c:showBubbleSize val="0"/>
        </c:dLbls>
        <c:gapWidth val="150"/>
        <c:axId val="425332736"/>
        <c:axId val="491368384"/>
      </c:barChart>
      <c:catAx>
        <c:axId val="425332736"/>
        <c:scaling>
          <c:orientation val="minMax"/>
        </c:scaling>
        <c:delete val="0"/>
        <c:axPos val="l"/>
        <c:numFmt formatCode="@" sourceLinked="1"/>
        <c:majorTickMark val="out"/>
        <c:minorTickMark val="none"/>
        <c:tickLblPos val="nextTo"/>
        <c:crossAx val="491368384"/>
        <c:crosses val="autoZero"/>
        <c:auto val="1"/>
        <c:lblAlgn val="ctr"/>
        <c:lblOffset val="100"/>
        <c:noMultiLvlLbl val="0"/>
      </c:catAx>
      <c:valAx>
        <c:axId val="491368384"/>
        <c:scaling>
          <c:orientation val="minMax"/>
        </c:scaling>
        <c:delete val="0"/>
        <c:axPos val="b"/>
        <c:majorGridlines/>
        <c:numFmt formatCode="General" sourceLinked="1"/>
        <c:majorTickMark val="out"/>
        <c:minorTickMark val="none"/>
        <c:tickLblPos val="nextTo"/>
        <c:crossAx val="42533273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4223ADA-4730-45C4-A217-71F0A29F3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TotalTime>
  <Pages>9</Pages>
  <Words>2539</Words>
  <Characters>14478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Bezzina</dc:creator>
  <cp:lastModifiedBy>user</cp:lastModifiedBy>
  <cp:revision>184</cp:revision>
  <dcterms:created xsi:type="dcterms:W3CDTF">2020-10-13T09:15:00Z</dcterms:created>
  <dcterms:modified xsi:type="dcterms:W3CDTF">2020-12-31T09:11:00Z</dcterms:modified>
</cp:coreProperties>
</file>